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t xml:space="preserve">Штукатурка</w:t>
      </w: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t xml:space="preserve"> гипсовая М-20 Старт </w:t>
      </w: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t xml:space="preserve">Универсальная (в</w:t>
      </w: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t xml:space="preserve">нутренние работы</w:t>
      </w: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  <w:t xml:space="preserve">)</w:t>
      </w:r>
      <w:r>
        <w:rPr>
          <w:rStyle w:val="851"/>
          <w:rFonts w:ascii="Times New Roman" w:hAnsi="Times New Roman" w:eastAsia="Times New Roman" w:cs="Times New Roman"/>
          <w:color w:val="333333"/>
          <w:sz w:val="32"/>
          <w:szCs w:val="32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3367"/>
        <w:gridCol w:w="662"/>
        <w:gridCol w:w="4003"/>
        <w:gridCol w:w="2388"/>
      </w:tblGrid>
      <w:tr>
        <w:tblPrEx/>
        <w:trPr>
          <w:trHeight w:val="443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58279-2018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80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465" w:dyaOrig="87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27.50pt;height:172.5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Цвет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светло-серый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Вяжущее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гипс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Рекомендуемая толщина слоя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2 - 40 мм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Толщина слоя при локальном выравнивании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50 мм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313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Расход смеси при слое 10 мм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Около 10 кг/м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2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Пропорции замеса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0,45-0,50 л/кг (13,5-15 л/30 кг)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50pt;height:222.0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Прочность сцепления с основанием, не менее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0,3 МПа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Предел прочности при сжатии, не менее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2 МПа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Температура воздуха, основания, материалов при работе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от + 5 до + 30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°С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Начало схватывания (время жизни), не менее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90 минут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Срок хранения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27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6 месяцев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/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before="240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eastAsia="en-US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3306"/>
        </w:trPr>
        <w:tc>
          <w:tcPr>
            <w:tcW w:w="10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52185" cy="8618220"/>
                      <wp:effectExtent l="0" t="0" r="5715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52185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6.55pt;height:678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3348"/>
        </w:trPr>
        <w:tc>
          <w:tcPr>
            <w:tcW w:w="101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/>
            <w:bookmarkStart w:id="0" w:name="_GoBack"/>
            <w:r/>
            <w:bookmarkEnd w:id="0"/>
            <w:r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30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3704"/>
        </w:trPr>
        <w:tc>
          <w:tcPr>
            <w:tcW w:w="104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object w:dxaOrig="6465" w:dyaOrig="87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width:484.50pt;height:652.50pt;mso-wrap-distance-left:0.00pt;mso-wrap-distance-top:0.00pt;mso-wrap-distance-right:0.00pt;mso-wrap-distance-bottom:0.00pt;" filled="f" stroked="f">
                  <v:path textboxrect="0,0,0,0"/>
                  <v:imagedata r:id="rId20" o:title=""/>
                </v:shape>
                <o:OLEObject DrawAspect="Content" r:id="rId21" ObjectID="_1525045" ProgID="PBrush" ShapeID="_x0000_i5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77"/>
        </w:trPr>
        <w:tc>
          <w:tcPr>
            <w:tcW w:w="10420" w:type="dxa"/>
            <w:textDirection w:val="lrTb"/>
            <w:noWrap w:val="false"/>
          </w:tcPr>
          <w:p>
            <w:pPr>
              <w:spacing w:after="0"/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  <w:t xml:space="preserve">Штукатурка гипсовая М-20 Старт </w:t>
            </w:r>
            <w:r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  <w:t xml:space="preserve">Универсальная (в</w:t>
            </w:r>
            <w:r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  <w:t xml:space="preserve">нутренние работы</w:t>
            </w:r>
            <w:r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  <w:t xml:space="preserve">)</w:t>
            </w:r>
            <w:r>
              <w:rPr>
                <w:rStyle w:val="851"/>
                <w:rFonts w:ascii="Times New Roman" w:hAnsi="Times New Roman" w:eastAsia="Times New Roman" w:cs="Times New Roman"/>
                <w:color w:val="333333"/>
                <w:sz w:val="32"/>
                <w:szCs w:val="32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b w:val="0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Штукатурка гипсовая облегченная, суперэластичная, не требующая шпатлевания</w:t>
            </w:r>
            <w:r>
              <w:rPr>
                <w:rStyle w:val="851"/>
                <w:rFonts w:ascii="Arial" w:hAnsi="Arial" w:cs="Arial"/>
                <w:b w:val="0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НАЗНАЧЕНИЕ</w:t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Смесь сухая строительная штукатурная на гипсовом вяжущем, ГОСТ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Р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58279-2018.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Предназначена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для нанесения ручным или машинным способом при оштукатуривании и выравнивании оснований только внутри помещений с нормальным и повышенным уровнем влажности. Применяется для выравнивания оснований из бетона (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монолитное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и панельное), кирпича, газо-, пенобетона и другие сильно впитывающие, оштукатуренные (гипсовое и цементное), ПГП, а также прочно зафиксированные ГКЛ и ГВЛ. Благодаря высокой пластичности штукатурка легко набрасывается на основание и разравнивает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ся слоем до 40 мм за один проход, при высыхании не образует трещин. Гипсовая штукатурка обладает достаточной прочностью и высокой для гипсовой штукатурки адгезией с основанием, что делает её надежным и практичным материалом для дальнейших отделочных работ.</w:t>
            </w:r>
            <w:r>
              <w:rPr>
                <w:rFonts w:ascii="Arial" w:hAnsi="Arial" w:cs="Arial"/>
                <w:b/>
                <w:bCs/>
                <w:color w:val="333333"/>
              </w:rPr>
            </w:r>
          </w:p>
          <w:p>
            <w:pPr>
              <w:spacing w:after="0" w:line="240" w:lineRule="auto"/>
              <w:shd w:val="clear" w:color="auto" w:fill="ffffff"/>
              <w:rPr>
                <w:rFonts w:ascii="Arial" w:hAnsi="Arial" w:eastAsia="Times New Roman" w:cs="Arial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b/>
                <w:bCs/>
                <w:color w:val="333333"/>
                <w:sz w:val="24"/>
                <w:szCs w:val="24"/>
              </w:rPr>
            </w:r>
            <w:r>
              <w:rPr>
                <w:rFonts w:ascii="Arial" w:hAnsi="Arial" w:eastAsia="Times New Roman" w:cs="Arial"/>
                <w:b/>
                <w:bCs/>
                <w:color w:val="333333"/>
                <w:sz w:val="24"/>
                <w:szCs w:val="24"/>
              </w:rPr>
            </w:r>
          </w:p>
          <w:p>
            <w:pPr>
              <w:spacing w:after="0" w:line="240" w:lineRule="auto"/>
              <w:shd w:val="clear" w:color="auto" w:fill="ffffff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b/>
                <w:bCs/>
                <w:color w:val="333333"/>
                <w:sz w:val="24"/>
                <w:szCs w:val="24"/>
              </w:rPr>
              <w:t xml:space="preserve">СФЕРА ПРИМЕНЕНИЯ И СВОЙСТВА</w:t>
            </w:r>
            <w: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Экологически чистый материал, не содержит и не выделяет опасных веществ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ручного и машинного нанесения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внутренних не промерзающих, отапливаемых помещений с нормальным и повышенным уровнем влажности (жилые комнаты, кухни, ванные комнаты и санузлы)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Не рекомендуется применение в сырых и мокрых помещениях, таких как душевые комнаты, бассейны и подвалы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Проста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в приготовлении и нанесении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Обладает высокой прочностью соединения с основанием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оштукатуривания потолков, стен и оконных откосов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оштукатуривания поверхностей без армирующей сетки слоем до 40 мм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дальнейшей отделки (под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шпаклевание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, под толстые обои, текстурное покрытие, декоративную штукатурку,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керамогранит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, покраску, плитку, приклеивание ГКЛ и ГВЛ)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Безусадочная и трещиноустойчивая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numPr>
                <w:ilvl w:val="0"/>
                <w:numId w:val="9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Для создания безопасного и комфортного микроклимата внутри помещений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ПОДГОТОВКА ОСНОВАНИЯ</w:t>
            </w:r>
            <w:r>
              <w:rPr>
                <w:rFonts w:ascii="Arial" w:hAnsi="Arial" w:cs="Arial"/>
                <w:color w:val="333333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Основание должно быть сухим, прочным, очищенным от грязи и пыли. Удалить различные наросты, наслоения,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старую отслоившуюся штукатурку, опалубочную смазку и другие загрязнения. Металлические детали (старые крюки, гвозди и т.п.), которые невозможно удалить, покрыть антикоррозийной защитой. Для повышения прочности сцепления штукатурки с основанием необходимо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прогрунтовать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поверхность. Гладким, бетонным, а также ранее окрашенным или облицованным основаниям необходимо придать шероховатость с помощью структурообразующего грунта «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Бетоноконтакт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». Кладка из кирпича или из керамических блоков должна быть обработана универсальным грунтом. Сильно впитывающие или неоднор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одные основания рекомендуется обработать грунтом глубокого проникновения. Дальнейшие работы следует проводить после полного высыхания грунта на основании. Не допускать запыления загрунтованных поверхностей. Температура основания должна быть не ниже +5 °С.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ПРИГОТОВЛЕНИЕ РАСТВОРА</w:t>
            </w:r>
            <w:r>
              <w:rPr>
                <w:rFonts w:ascii="Arial" w:hAnsi="Arial" w:cs="Arial"/>
                <w:color w:val="333333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Для приготовления смеси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берут отмеренное количество чистой воды с температурой от +15 до +20°С. Консистенцию материала подбирают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в зависимости от вида выполняемых работ. Сухую смесь постепенно добавляют в воду при перемешивании, добиваясь получения однородной массы без комков. Перемешивание произ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водят миксером или дрелью с насадкой при скорости вращения 400–800 об/мин. Затем выдерживают технологическую паузу 5–10 минут для созревания смеси и перемешивают еще раз. Механизированное нанесение смеси рекомендуется выполнять с помощью оборудования PFT,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Putzmeister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, M-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Tec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,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Kaleta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или аналогичного, в соответствии с рекомендациями его изготовителя.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ПРИМЕНЕНИЕ</w:t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На поверхность стен установить маяки с  интервалом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на 20-30 см меньше длины правила. Готовый раствор нанести на подготовленное основание мастерком или механизированным способом слоем  до 40 мм за один проход и выровнять правилом.  При необходимости выравнивание можно выполнять в несколько слоев, где толщин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а последующих слоев должна быть меньше толщины предыдущих слоев. Для этого на схватившийся, но еще не затвердевший слой штукатурки, нанести крестообразные насечки с помощью гребня или зубчатого шпателя или армировать нижний слой  штукатурной сеткой. Процед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уру  армирования рекомендуется применять в том случае, когда основание изготовлено из разных материалов или его структура потеряла первоначальную прочность. Сетка должна располагаться на расстоянии от основания, равном 2/3 толщины нижнего слоя штукатурки.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Нахлест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сетки в местах стыковки н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е менее 10 см. Не зависимо от слоя нанесения, необходимо усилить армирующей сеткой стыки оснований из различных материалов и другие критические зоны. При многослойном штукатурном покрытии каждый последующий слой наносится не ранее через 24 часа на заранее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прогрунтованную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поверхность. Свеженанесенную штукатурку следует в тече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ние 2 суток предохранять от пересыхания (поверхность необходимо увлажнять), защищать от воздействия прямых солнечных лучей, сквозняков, не допускать замораживания. После высыхания поверхность готова под последующую отделку другими декоративными покрытиями.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br/>
              <w:t xml:space="preserve">Все вышеуказанные рекомендации по применению верны при температуре +23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ºС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 и относительной влажности воздуха 60%. В других условиях время схватывания и высыхания штукатурки может меняться.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</w:r>
            <w:r>
              <w:rPr>
                <w:rFonts w:ascii="Arial" w:hAnsi="Arial" w:cs="Arial"/>
                <w:b/>
                <w:bCs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РЕКОМЕНДАЦИИ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jc w:val="both"/>
              <w:spacing w:after="0" w:line="240" w:lineRule="auto"/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Техническое описание не может замен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ить профессиональной подготовки при выполнении работ. Кроме изложенной на упаковке информации о способах применения материала, при работе с ним следует руководствоваться инструкциями по ведению общестроительных работ и технике безопасности в строительстве.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Style w:val="851"/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</w:r>
            <w:r>
              <w:rPr>
                <w:rStyle w:val="851"/>
                <w:rFonts w:ascii="Arial" w:hAnsi="Arial" w:cs="Arial"/>
                <w:color w:val="333333"/>
              </w:rPr>
            </w:r>
          </w:p>
          <w:p>
            <w:pPr>
              <w:pStyle w:val="850"/>
              <w:spacing w:before="0" w:beforeAutospacing="0" w:after="0" w:afterAutospacing="0"/>
              <w:shd w:val="clear" w:color="auto" w:fill="ffffff"/>
              <w:rPr>
                <w:rFonts w:ascii="Arial" w:hAnsi="Arial" w:cs="Arial"/>
                <w:color w:val="333333"/>
              </w:rPr>
            </w:pPr>
            <w:r>
              <w:rPr>
                <w:rStyle w:val="851"/>
                <w:rFonts w:ascii="Arial" w:hAnsi="Arial" w:cs="Arial"/>
                <w:color w:val="333333"/>
              </w:rPr>
              <w:t xml:space="preserve">УПАКОВКА И ХРАНЕНИЕ</w:t>
            </w:r>
            <w:r>
              <w:rPr>
                <w:rFonts w:ascii="Arial" w:hAnsi="Arial" w:cs="Arial"/>
                <w:color w:val="333333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Гипсовая штукатурка фасуется в мешки </w:t>
            </w:r>
            <w:r>
              <w:rPr>
                <w:rFonts w:ascii="Arial" w:hAnsi="Arial" w:cs="Arial" w:eastAsiaTheme="minorHAnsi"/>
                <w:shd w:val="clear" w:color="auto" w:fill="ffffff"/>
                <w:lang w:eastAsia="en-US"/>
              </w:rPr>
              <w:t xml:space="preserve">весом 30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кг.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br/>
              <w:t xml:space="preserve">Срок хранения 6 месяцев с даты изготовления, в сухом помещении и плотно закрытой заводской упаковке. 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  <w:t xml:space="preserve">Не допускать попадания влаги!</w:t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pP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  <w:r>
              <w:rPr>
                <w:rFonts w:ascii="Arial" w:hAnsi="Arial" w:cs="Arial" w:eastAsiaTheme="minorHAnsi"/>
                <w:color w:val="333333"/>
                <w:shd w:val="clear" w:color="auto" w:fill="ffffff"/>
                <w:lang w:eastAsia="en-US"/>
              </w:rPr>
            </w:r>
          </w:p>
          <w:p>
            <w:pPr>
              <w:spacing w:after="0"/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b/>
              </w:rPr>
              <w:t xml:space="preserve">Произведено в соответствии </w:t>
            </w:r>
            <w:r>
              <w:rPr>
                <w:rFonts w:ascii="Arial" w:hAnsi="Arial" w:cs="Arial"/>
                <w:b/>
              </w:rPr>
              <w:t xml:space="preserve">с </w:t>
            </w:r>
            <w:r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ГОСТ </w:t>
            </w:r>
            <w:r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Р</w:t>
            </w:r>
            <w:r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58279-2018</w:t>
            </w:r>
            <w:r>
              <w:rPr>
                <w:rFonts w:ascii="Arial" w:hAnsi="Arial" w:cs="Arial"/>
                <w:b/>
                <w:color w:val="333333"/>
                <w:shd w:val="clear" w:color="auto" w:fill="ffffff"/>
              </w:rPr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b/>
                <w:bCs/>
                <w:color w:val="333333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333333"/>
                <w:sz w:val="32"/>
                <w:szCs w:val="32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333333"/>
                <w:sz w:val="32"/>
                <w:szCs w:val="32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843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45"/>
      <w:gridCol w:w="905"/>
      <w:gridCol w:w="3199"/>
      <w:gridCol w:w="1028"/>
      <w:gridCol w:w="2643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50pt;height:39.0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837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.50pt;height:40.50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837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844"/>
      <w:rPr>
        <w:lang w:val="en-US"/>
      </w:rPr>
    </w:pPr>
    <w:r>
      <w:rPr>
        <w:lang w:val="en-US"/>
      </w:rPr>
    </w:r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left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left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left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left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left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left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left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left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left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left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left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left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left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left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left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left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38"/>
    <w:link w:val="837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836"/>
    <w:next w:val="836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838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836"/>
    <w:next w:val="836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838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836"/>
    <w:next w:val="836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838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836"/>
    <w:next w:val="836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838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836"/>
    <w:next w:val="836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838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836"/>
    <w:next w:val="836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838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836"/>
    <w:next w:val="836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838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836"/>
    <w:next w:val="836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838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836"/>
    <w:next w:val="836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838"/>
    <w:link w:val="35"/>
    <w:uiPriority w:val="10"/>
    <w:rPr>
      <w:sz w:val="48"/>
      <w:szCs w:val="48"/>
    </w:rPr>
  </w:style>
  <w:style w:type="paragraph" w:styleId="37">
    <w:name w:val="Subtitle"/>
    <w:basedOn w:val="836"/>
    <w:next w:val="836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838"/>
    <w:link w:val="37"/>
    <w:uiPriority w:val="11"/>
    <w:rPr>
      <w:sz w:val="24"/>
      <w:szCs w:val="24"/>
    </w:rPr>
  </w:style>
  <w:style w:type="paragraph" w:styleId="39">
    <w:name w:val="Quote"/>
    <w:basedOn w:val="836"/>
    <w:next w:val="836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836"/>
    <w:next w:val="836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838"/>
    <w:link w:val="844"/>
    <w:uiPriority w:val="99"/>
  </w:style>
  <w:style w:type="character" w:styleId="46">
    <w:name w:val="Footer Char"/>
    <w:basedOn w:val="838"/>
    <w:link w:val="846"/>
    <w:uiPriority w:val="99"/>
  </w:style>
  <w:style w:type="paragraph" w:styleId="47">
    <w:name w:val="Caption"/>
    <w:basedOn w:val="836"/>
    <w:next w:val="836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838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836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838"/>
    <w:uiPriority w:val="99"/>
    <w:unhideWhenUsed/>
    <w:rPr>
      <w:vertAlign w:val="superscript"/>
    </w:rPr>
  </w:style>
  <w:style w:type="paragraph" w:styleId="179">
    <w:name w:val="endnote text"/>
    <w:basedOn w:val="836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38"/>
    <w:uiPriority w:val="99"/>
    <w:semiHidden/>
    <w:unhideWhenUsed/>
    <w:rPr>
      <w:vertAlign w:val="superscript"/>
    </w:rPr>
  </w:style>
  <w:style w:type="paragraph" w:styleId="182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837">
    <w:name w:val="Heading 1"/>
    <w:basedOn w:val="836"/>
    <w:next w:val="836"/>
    <w:link w:val="841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 w:customStyle="1">
    <w:name w:val="Заголовок 1 Знак"/>
    <w:basedOn w:val="838"/>
    <w:link w:val="837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842">
    <w:name w:val="List Paragraph"/>
    <w:basedOn w:val="836"/>
    <w:uiPriority w:val="34"/>
    <w:qFormat/>
    <w:pPr>
      <w:contextualSpacing/>
      <w:ind w:left="720"/>
    </w:pPr>
  </w:style>
  <w:style w:type="table" w:styleId="843">
    <w:name w:val="Table Grid"/>
    <w:basedOn w:val="839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4">
    <w:name w:val="Header"/>
    <w:basedOn w:val="836"/>
    <w:link w:val="84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838"/>
    <w:link w:val="844"/>
    <w:uiPriority w:val="99"/>
    <w:rPr>
      <w:rFonts w:ascii="Calibri" w:hAnsi="Calibri" w:eastAsia="Calibri" w:cs="Calibri"/>
      <w:lang w:eastAsia="ru-RU"/>
    </w:rPr>
  </w:style>
  <w:style w:type="paragraph" w:styleId="846">
    <w:name w:val="Footer"/>
    <w:basedOn w:val="836"/>
    <w:link w:val="84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838"/>
    <w:link w:val="846"/>
    <w:uiPriority w:val="99"/>
    <w:rPr>
      <w:rFonts w:ascii="Calibri" w:hAnsi="Calibri" w:eastAsia="Calibri" w:cs="Calibri"/>
      <w:lang w:eastAsia="ru-RU"/>
    </w:rPr>
  </w:style>
  <w:style w:type="paragraph" w:styleId="848">
    <w:name w:val="Balloon Text"/>
    <w:basedOn w:val="836"/>
    <w:link w:val="84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9" w:customStyle="1">
    <w:name w:val="Текст выноски Знак"/>
    <w:basedOn w:val="838"/>
    <w:link w:val="848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850">
    <w:name w:val="Normal (Web)"/>
    <w:basedOn w:val="836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51">
    <w:name w:val="Strong"/>
    <w:basedOn w:val="838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8</cp:revision>
  <dcterms:created xsi:type="dcterms:W3CDTF">2024-01-30T12:16:00Z</dcterms:created>
  <dcterms:modified xsi:type="dcterms:W3CDTF">2026-05-22T11:02:41Z</dcterms:modified>
</cp:coreProperties>
</file>