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Стяжка для пола М-200</w:t>
      </w:r>
      <w:r>
        <w:rPr>
          <w:rFonts w:ascii="Times New Roman" w:hAnsi="Times New Roman" w:cs="Times New Roman"/>
          <w:b/>
          <w:sz w:val="24"/>
          <w:szCs w:val="24"/>
        </w:rPr>
        <w:t xml:space="preserve"> Базовая</w:t>
      </w:r>
      <w:r>
        <w:rPr>
          <w:rFonts w:ascii="Times New Roman" w:hAnsi="Times New Roman" w:cs="Times New Roman"/>
          <w:b/>
          <w:sz w:val="24"/>
          <w:szCs w:val="24"/>
        </w:rPr>
        <w:t xml:space="preserve"> + Армирующее волокно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ПАСПОРТ  КАЧЕСТВА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3366"/>
        <w:gridCol w:w="540"/>
        <w:gridCol w:w="4817"/>
        <w:gridCol w:w="1697"/>
      </w:tblGrid>
      <w:tr>
        <w:tblPrEx/>
        <w:trPr/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Смесь сухая строительная цементная напольная выравнивающая производится  в соответствии с ГОСТ 31358-2019           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89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мешок 25 кг.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/п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Наименование показателей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Фактические результаты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580"/>
        </w:trPr>
        <w:tc>
          <w:tcPr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2"/>
                <w:szCs w:val="22"/>
              </w:rPr>
              <w:object w:dxaOrig="9090" w:dyaOrig="1434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width:121.50pt;height:189.00pt;mso-wrap-distance-left:0.00pt;mso-wrap-distance-top:0.00pt;mso-wrap-distance-right:0.00pt;mso-wrap-distance-bottom:0.00pt;" filled="f" stroked="f">
                  <v:path textboxrect="0,0,0,0"/>
                  <v:imagedata r:id="rId15" o:title=""/>
                </v:shape>
                <o:OLEObject DrawAspect="Content" r:id="rId16" ObjectID="_1525042" ProgID="PBrush" ShapeID="_x0000_i2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33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Влажность по массе,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44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Подвижность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расплыву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кольца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966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начала схватывания, не менее,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 прочности на растяжение при изгибе,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МКР 1 тонна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 прочности при сжатии,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5"/>
        </w:trPr>
        <w:tc>
          <w:tcPr>
            <w:tcW w:w="0" w:type="auto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850" w:dyaOrig="46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width:157.50pt;height:222.00pt;mso-wrap-distance-left:0.00pt;mso-wrap-distance-top:0.00pt;mso-wrap-distance-right:0.00pt;mso-wrap-distance-bottom:0.00pt;" filled="f" stroked="f">
                  <v:path textboxrect="0,0,0,0"/>
                  <v:imagedata r:id="rId17" o:title=""/>
                </v:shape>
                <o:OLEObject DrawAspect="Content" r:id="rId18" ObjectID="_1525043" ProgID="PBrush" ShapeID="_x0000_i3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сцепления (адгезия) с основанием, 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50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Деформация усадки/расширения, не более,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0,8/0,5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06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Истираемость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сопротивление износу), г/см2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89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пешеходного движения,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699"/>
        </w:trPr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Стойкость к ударным воздействиям (для несущих смесей),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доп≤5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966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Морозостойкость, циклов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gridSpan w:val="4"/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хранения 12 месяцев с даты изготовления, в сухом помещении и плотно закрытой заводской упаковке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spacing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СВИДЕТЕЛЬСТВО О ГОСУДАРСТВЕННОЙ РЕГИСТРАЦИИ ПРОДУКЦИИ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/>
        <w:tc>
          <w:tcPr>
            <w:tcW w:w="10421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79540" cy="8903350"/>
                      <wp:effectExtent l="0" t="0" r="0" b="0"/>
                      <wp:docPr id="5" name="Рисунок 2" descr="C:\Users\PC\Desktop\МЕЛАНЖ\АССОРТИМЕНТ_СБОРКА ЧЕРНОВИК\СТЯЖКА ДЛЯ ПОЛА\СГР стяжка для пола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PC\Desktop\МЕЛАНЖ\АССОРТИМЕНТ_СБОРКА ЧЕРНОВИК\СТЯЖКА ДЛЯ ПОЛА\СГР стяжка для пол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79540" cy="890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510.20pt;height:701.0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ДЕКЛАРАЦИЯ О СООТВЕТСТВИИ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140"/>
      </w:tblGrid>
      <w:tr>
        <w:tblPrEx/>
        <w:trPr>
          <w:trHeight w:val="12771"/>
        </w:trPr>
        <w:tc>
          <w:tcPr>
            <w:tcW w:w="10140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040755" cy="8618220"/>
                      <wp:effectExtent l="0" t="0" r="0" b="0"/>
                      <wp:docPr id="6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40755" cy="8618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75.65pt;height:678.60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b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МЕШКОТАРА 25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кг.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563"/>
        </w:trPr>
        <w:tc>
          <w:tcPr>
            <w:tcW w:w="10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object w:dxaOrig="9090" w:dyaOrig="1434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width:427.50pt;height:675.75pt;mso-wrap-distance-left:0.00pt;mso-wrap-distance-top:0.00pt;mso-wrap-distance-right:0.00pt;mso-wrap-distance-bottom:0.00pt;" filled="f" stroked="f">
                  <v:path textboxrect="0,0,0,0"/>
                  <v:imagedata r:id="rId21" o:title=""/>
                </v:shape>
                <o:OLEObject DrawAspect="Content" r:id="rId22" ObjectID="_1525046" ProgID="PBrush" ShapeID="_x0000_i6" Type="Embed"/>
              </w:objec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ОПИСАНИЕ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843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12241"/>
        </w:trPr>
        <w:tc>
          <w:tcPr>
            <w:tcW w:w="10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Стяжка для пола М-200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shd w:val="clear" w:color="auto" w:fill="ffffff"/>
            </w:pPr>
            <w:r>
              <w:rPr>
                <w:color w:val="666666"/>
                <w:shd w:val="clear" w:color="auto" w:fill="ffffff"/>
              </w:rPr>
              <w:t xml:space="preserve"> </w:t>
            </w:r>
            <w:r>
              <w:rPr>
                <w:color w:val="666666"/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Специальный состав для</w:t>
            </w:r>
            <w:r>
              <w:rPr>
                <w:shd w:val="clear" w:color="auto" w:fill="ffffff"/>
              </w:rPr>
              <w:t xml:space="preserve"> выравнивания бетонных оснований, устройства несвязанной стяжки, </w:t>
            </w:r>
            <w:r>
              <w:rPr>
                <w:shd w:val="clear" w:color="auto" w:fill="ffffff"/>
              </w:rPr>
              <w:t xml:space="preserve">замоноличивания</w:t>
            </w:r>
            <w:r>
              <w:rPr>
                <w:shd w:val="clear" w:color="auto" w:fill="ffffff"/>
              </w:rPr>
              <w:t xml:space="preserve"> стыков на горизонтальных поверхностях, как основа для финишного выравнивания пола, а также под укладку плитки в жилых и общественных помещениях.  Для внутренних работ.</w:t>
            </w:r>
            <w:r/>
          </w:p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Подготовка основы: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</w:r>
          </w:p>
          <w:p>
            <w:pPr>
              <w:pStyle w:val="842"/>
              <w:numPr>
                <w:ilvl w:val="0"/>
                <w:numId w:val="3"/>
              </w:numPr>
              <w:jc w:val="both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Поверхность должна быть прочной (не менее 50% от проектной), сухой, очищенной от пыли, жиров, краски и отслоений.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3"/>
              </w:numPr>
              <w:jc w:val="both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Сильно впитывающие основания должны быть предварительно обработаны грунтовкой, гладкие не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впитывающие основания при необходимости обработать бетон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контактом.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3"/>
              </w:numPr>
              <w:jc w:val="both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устройстве «теплых» и «плавающих» полов необходимо использовать армирующую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сетку.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выполняемых работ: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4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Общестроительные работы (заделка выбоин, трещин в стенах, кладка заборов из кирпича и блоков, засыпка пустот, установка столбов)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4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Заливка стяжки в квартирах, жилых домах и нежилых помещениях (офисы,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ит.д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.) с низкой и средней проходимостью.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4"/>
              </w:numPr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использования в стяжке при прокладке системы «Теплый пол»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jc w:val="both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850"/>
              <w:jc w:val="both"/>
              <w:spacing w:before="0" w:beforeAutospacing="0" w:after="240" w:afterAutospacing="0" w:line="276" w:lineRule="auto"/>
              <w:rPr>
                <w:b/>
                <w:color w:val="222222"/>
                <w:sz w:val="32"/>
                <w:szCs w:val="32"/>
              </w:rPr>
            </w:pPr>
            <w:r>
              <w:rPr>
                <w:b/>
                <w:color w:val="222222"/>
                <w:sz w:val="32"/>
                <w:szCs w:val="32"/>
              </w:rPr>
              <w:t xml:space="preserve">Приготовление растворной смеси:</w:t>
            </w:r>
            <w:r>
              <w:rPr>
                <w:b/>
                <w:color w:val="222222"/>
                <w:sz w:val="32"/>
                <w:szCs w:val="32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приготовления используйте чистые емкости и инструменты;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Пользуйтесь мерными емкостями для добавления нужного объема воды;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0"/>
              <w:numPr>
                <w:ilvl w:val="0"/>
                <w:numId w:val="5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Добавить соответствующее количество сухой смеси, указанное на упаковке;</w:t>
            </w:r>
            <w:r>
              <w:rPr>
                <w:b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Перемешивание рекомендуется осуществлять миксером или дрелью с насадкой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 получения однородной массы без комков;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Сухую смесь постепенно добавляют в воду при перемешивании, добиваясь получения однородной консистенции;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Приготовленный раствор выдержать в течение 5 минут, затем снова тщательно перемешать;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Готовая смесь сохраняет свои свойства в течение 60 минут (н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 xml:space="preserve">аличие сквозняков и повышенная температура снижают время применения);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a0a0a"/>
                <w:sz w:val="24"/>
                <w:szCs w:val="24"/>
                <w:shd w:val="clear" w:color="auto" w:fill="ffffff"/>
              </w:rPr>
              <w:t xml:space="preserve">В процессе производства работ следует периодически перемешивать растворную смесь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42"/>
              <w:numPr>
                <w:ilvl w:val="0"/>
                <w:numId w:val="5"/>
              </w:numPr>
              <w:jc w:val="both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толщина стяжки в системе «теплый пол» зависит от высоты её конструктивных элементов (слой толщиной 40 мм должен быть обеспечен без учета толщины кабеля или труб). Требуется армирование сеткой.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0"/>
              <w:jc w:val="both"/>
              <w:spacing w:before="0" w:beforeAutospacing="0" w:after="240" w:afterAutospacing="0"/>
              <w:rPr>
                <w:b/>
                <w:color w:val="222222"/>
                <w:sz w:val="32"/>
                <w:szCs w:val="32"/>
              </w:rPr>
            </w:pPr>
            <w:r>
              <w:rPr>
                <w:b/>
                <w:color w:val="222222"/>
                <w:sz w:val="32"/>
                <w:szCs w:val="32"/>
              </w:rPr>
              <w:t xml:space="preserve">Порядок работы:</w:t>
            </w:r>
            <w:r>
              <w:rPr>
                <w:b/>
                <w:color w:val="222222"/>
                <w:sz w:val="32"/>
                <w:szCs w:val="32"/>
              </w:rPr>
            </w:r>
          </w:p>
          <w:p>
            <w:pPr>
              <w:pStyle w:val="850"/>
              <w:numPr>
                <w:ilvl w:val="0"/>
                <w:numId w:val="6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В процессе работы и в течение 2-х дней температура основы должна быть от +5С до +30С.</w:t>
            </w:r>
            <w:r>
              <w:rPr>
                <w:b/>
              </w:rPr>
            </w:r>
          </w:p>
          <w:p>
            <w:pPr>
              <w:pStyle w:val="850"/>
              <w:numPr>
                <w:ilvl w:val="0"/>
                <w:numId w:val="6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Работы необходимо проводить в средствах индивидуальной защиты, при попадании в глаза немедленно промыть большим количеством воды.</w:t>
            </w:r>
            <w:r>
              <w:rPr>
                <w:b/>
              </w:rPr>
            </w:r>
          </w:p>
          <w:p>
            <w:pPr>
              <w:pStyle w:val="850"/>
              <w:numPr>
                <w:ilvl w:val="0"/>
                <w:numId w:val="6"/>
              </w:numPr>
              <w:jc w:val="both"/>
              <w:spacing w:after="0"/>
            </w:pPr>
            <w:r>
              <w:t xml:space="preserve">Не разрешается добавлять воду в готовый раствор (для разжижения), в этом случае необходимо приготовить новый раствор;</w:t>
            </w:r>
            <w:r/>
          </w:p>
          <w:p>
            <w:pPr>
              <w:pStyle w:val="850"/>
              <w:numPr>
                <w:ilvl w:val="0"/>
                <w:numId w:val="6"/>
              </w:numPr>
              <w:jc w:val="both"/>
              <w:spacing w:before="0" w:beforeAutospacing="0" w:after="0" w:afterAutospacing="0"/>
            </w:pPr>
            <w:r>
              <w:t xml:space="preserve">Заливается раствор по заранее установленным маякам в один слой;</w:t>
            </w:r>
            <w:r/>
          </w:p>
          <w:p>
            <w:pPr>
              <w:pStyle w:val="850"/>
              <w:numPr>
                <w:ilvl w:val="0"/>
                <w:numId w:val="6"/>
              </w:numPr>
              <w:jc w:val="both"/>
              <w:spacing w:before="0" w:beforeAutospacing="0" w:after="0" w:afterAutospacing="0"/>
            </w:pPr>
            <w:r>
              <w:t xml:space="preserve">Готовый раствор нанести на пол. Разровнять при помощи металлической линейки, правила или другого подходящего инструмента. Загладить поверхность при помощи </w:t>
            </w:r>
            <w:r>
              <w:t xml:space="preserve">полутёрка</w:t>
            </w:r>
            <w:r>
              <w:t xml:space="preserve">.</w:t>
            </w:r>
            <w:r/>
          </w:p>
          <w:p>
            <w:pPr>
              <w:pStyle w:val="850"/>
              <w:numPr>
                <w:ilvl w:val="0"/>
                <w:numId w:val="6"/>
              </w:numPr>
              <w:jc w:val="both"/>
              <w:spacing w:before="0" w:beforeAutospacing="0" w:after="0" w:afterAutospacing="0"/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 xml:space="preserve">Готовую стяжку требуется укрыть от резкого высыхания, сквозняков и прямых солнечных лучей</w:t>
            </w:r>
            <w:r>
              <w:rPr>
                <w:b/>
              </w:rPr>
            </w:r>
          </w:p>
          <w:p>
            <w:pPr>
              <w:pStyle w:val="850"/>
              <w:jc w:val="both"/>
              <w:spacing w:before="0" w:beforeAutospacing="0" w:after="225" w:afterAutospacing="0"/>
              <w:rPr>
                <w:b/>
                <w:color w:val="222222"/>
                <w:sz w:val="32"/>
                <w:szCs w:val="32"/>
              </w:rPr>
            </w:pPr>
            <w:r>
              <w:rPr>
                <w:b/>
                <w:color w:val="222222"/>
                <w:sz w:val="32"/>
                <w:szCs w:val="32"/>
              </w:rPr>
            </w:r>
            <w:r>
              <w:rPr>
                <w:b/>
                <w:color w:val="222222"/>
                <w:sz w:val="32"/>
                <w:szCs w:val="32"/>
              </w:rPr>
            </w:r>
          </w:p>
          <w:p>
            <w:pPr>
              <w:pStyle w:val="850"/>
              <w:jc w:val="both"/>
              <w:spacing w:before="0" w:beforeAutospacing="0" w:after="225" w:afterAutospacing="0"/>
              <w:rPr>
                <w:b/>
                <w:color w:val="222222"/>
                <w:sz w:val="32"/>
                <w:szCs w:val="32"/>
              </w:rPr>
            </w:pPr>
            <w:r>
              <w:rPr>
                <w:b/>
                <w:color w:val="222222"/>
                <w:sz w:val="32"/>
                <w:szCs w:val="32"/>
              </w:rPr>
              <w:t xml:space="preserve">Условия транспортирования и хранения:</w:t>
            </w:r>
            <w:r>
              <w:rPr>
                <w:b/>
                <w:color w:val="222222"/>
                <w:sz w:val="32"/>
                <w:szCs w:val="32"/>
              </w:rPr>
            </w:r>
          </w:p>
          <w:p>
            <w:pPr>
              <w:pStyle w:val="850"/>
              <w:numPr>
                <w:ilvl w:val="0"/>
                <w:numId w:val="7"/>
              </w:numPr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 xml:space="preserve">Смесь транспортировать в соответствии с правилами перевозки груз</w:t>
            </w:r>
            <w:r>
              <w:rPr>
                <w:color w:val="222222"/>
              </w:rPr>
              <w:t xml:space="preserve">ов. Мешки с сухой смесью хранить в крытых сухих помещениях в условиях, обеспечивающих сохранность упаковки и предохранение от увлажнения. Срок хранения в таре изготовителя – 6 месяцев со дня изготовления при соблюдении условий транспортирования и хранения.</w:t>
            </w:r>
            <w:r>
              <w:rPr>
                <w:color w:val="222222"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tbl>
            <w:tblPr>
              <w:tblStyle w:val="843"/>
              <w:tblpPr w:horzAnchor="text" w:tblpXSpec="left" w:vertAnchor="text" w:tblpY="1" w:leftFromText="180" w:topFromText="0" w:rightFromText="180" w:bottomFromText="0"/>
              <w:tblW w:w="0" w:type="auto"/>
              <w:tblLook w:val="04A0" w:firstRow="1" w:lastRow="0" w:firstColumn="1" w:lastColumn="0" w:noHBand="0" w:noVBand="1"/>
            </w:tblPr>
            <w:tblGrid>
              <w:gridCol w:w="5173"/>
              <w:gridCol w:w="1336"/>
            </w:tblGrid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Наибольшая крупность зерен заполнителя, </w:t>
                  </w:r>
                  <w:r>
                    <w:rPr>
                      <w:color w:val="222222"/>
                      <w:lang w:eastAsia="en-US"/>
                    </w:rPr>
                    <w:t xml:space="preserve">мм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5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Марка прочности на сжатие МПа, не менее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20 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Адгезия к основанию МПа, не менее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0,3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Расход воды на 1 кг сухой смеси, литров:</w:t>
                  </w:r>
                  <w:r>
                    <w:rPr>
                      <w:lang w:eastAsia="en-US"/>
                    </w:rPr>
                    <w:tab/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0,14-0,18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Расход воды на 25 кг сухой смеси, литров:</w:t>
                  </w:r>
                  <w:r>
                    <w:rPr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3,5-4,5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Жизнеспособность раствора мин., не менее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60 мин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  <w:tr>
              <w:tblPrEx/>
              <w:trPr>
                <w:trHeight w:val="358"/>
              </w:trP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5173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Подвижность раствора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tcW w:w="1336" w:type="dxa"/>
                  <w:vAlign w:val="center"/>
                  <w:textDirection w:val="lrTb"/>
                  <w:noWrap w:val="false"/>
                </w:tcPr>
                <w:p>
                  <w:pPr>
                    <w:pStyle w:val="850"/>
                    <w:jc w:val="center"/>
                    <w:spacing w:before="0" w:beforeAutospacing="0" w:after="0" w:afterAutospacing="0"/>
                    <w:rPr>
                      <w:color w:val="222222"/>
                      <w:lang w:eastAsia="en-US"/>
                    </w:rPr>
                  </w:pPr>
                  <w:r>
                    <w:rPr>
                      <w:color w:val="222222"/>
                      <w:lang w:eastAsia="en-US"/>
                    </w:rPr>
                    <w:t xml:space="preserve">Пк-2</w:t>
                  </w:r>
                  <w:r>
                    <w:rPr>
                      <w:color w:val="222222"/>
                      <w:lang w:eastAsia="en-US"/>
                    </w:rPr>
                  </w:r>
                </w:p>
              </w:tc>
            </w:tr>
          </w:tbl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pStyle w:val="850"/>
              <w:ind w:left="720"/>
              <w:jc w:val="both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</w:r>
            <w:r>
              <w:rPr>
                <w:color w:val="222222"/>
              </w:rPr>
            </w:r>
          </w:p>
          <w:p>
            <w:pPr>
              <w:tabs>
                <w:tab w:val="left" w:pos="7395" w:leader="none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ГОСТ 31358-2019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</w:r>
          </w:p>
          <w:p>
            <w:pPr>
              <w:spacing w:after="0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850"/>
              <w:jc w:val="both"/>
              <w:spacing w:before="0" w:beforeAutospacing="0" w:after="0" w:afterAutospacing="0"/>
              <w:rPr>
                <w:color w:val="262626"/>
                <w:sz w:val="22"/>
                <w:szCs w:val="22"/>
              </w:rPr>
            </w:pPr>
            <w:r>
              <w:rPr>
                <w:color w:val="262626"/>
                <w:sz w:val="22"/>
                <w:szCs w:val="22"/>
              </w:rPr>
            </w:r>
            <w:r>
              <w:rPr>
                <w:color w:val="262626"/>
                <w:sz w:val="22"/>
                <w:szCs w:val="22"/>
              </w:rPr>
            </w:r>
          </w:p>
        </w:tc>
      </w:tr>
    </w:tbl>
    <w:p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</w:r>
    </w:p>
    <w:p>
      <w:pPr>
        <w:rPr>
          <w:rFonts w:ascii="Times New Roman" w:hAnsi="Times New Roman" w:eastAsia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</w:rPr>
      </w:r>
      <w:r>
        <w:rPr>
          <w:rFonts w:ascii="Times New Roman" w:hAnsi="Times New Roman" w:eastAsia="Times New Roman" w:cs="Times New Roman"/>
          <w:color w:val="000000"/>
        </w:rPr>
      </w:r>
    </w:p>
    <w:p>
      <w:r/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42" w:right="851" w:bottom="567" w:left="851" w:header="137" w:footer="124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SimSun">
    <w:panose1 w:val="02020603020101020101"/>
  </w:font>
  <w:font w:name="Arial">
    <w:panose1 w:val="020B0604020202020204"/>
  </w:font>
  <w:font w:name="Calibri">
    <w:panose1 w:val="020F0502020204030204"/>
  </w:font>
  <w:font w:name="Wingdings">
    <w:panose1 w:val="05010000000000000000"/>
  </w:font>
  <w:font w:name="Liberation Sans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  <w:tabs>
        <w:tab w:val="left" w:pos="1740" w:leader="none"/>
        <w:tab w:val="right" w:pos="10205" w:leader="none"/>
      </w:tabs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843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650"/>
      <w:gridCol w:w="905"/>
      <w:gridCol w:w="3204"/>
      <w:gridCol w:w="1012"/>
      <w:gridCol w:w="2649"/>
    </w:tblGrid>
    <w:tr>
      <w:tblPrEx/>
      <w:trPr>
        <w:trHeight w:val="717"/>
      </w:trPr>
      <w:tc>
        <w:tcPr>
          <w:tcW w:w="127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ИНН/КПП 7203388776/720301001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625031 Тюменская обл., г. Тюмень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ул. Тимофея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Чаркова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, 8Б/1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434" w:type="pct"/>
          <w:vAlign w:val="center"/>
          <w:textDirection w:val="lrTb"/>
          <w:noWrap w:val="false"/>
        </w:tcPr>
        <w:p>
          <w:pPr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13500" w:dyaOrig="1578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.50pt;height:39.75pt;mso-wrap-distance-left:0.00pt;mso-wrap-distance-top:0.00pt;mso-wrap-distance-right:0.00pt;mso-wrap-distance-bottom:0.00pt;" filled="f" stroked="f">
                <v:path textboxrect="0,0,0,0"/>
                <v:imagedata r:id="rId1" o:title=""/>
              </v:shape>
              <o:OLEObject DrawAspect="Content" r:id="rId2" ObjectID="_1525040" ProgID="PBrush" ShapeID="_x0000_i0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540" w:type="pct"/>
          <w:vAlign w:val="center"/>
          <w:textDirection w:val="lrTb"/>
          <w:noWrap w:val="false"/>
        </w:tcPr>
        <w:p>
          <w:pPr>
            <w:pStyle w:val="837"/>
            <w:jc w:val="center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outlineLvl w:val="0"/>
          </w:pP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  <w:t xml:space="preserve">Завод ООО «Меланж»</w:t>
          </w:r>
          <w:r>
            <w:rPr>
              <w:rFonts w:ascii="Times New Roman" w:hAnsi="Times New Roman" w:eastAsia="Times New Roman" w:cs="Times New Roman"/>
              <w:b w:val="0"/>
              <w:sz w:val="16"/>
              <w:szCs w:val="16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Наши сухие строительные смеси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  <w:p>
          <w:pPr>
            <w:jc w:val="center"/>
            <w:spacing w:after="0"/>
            <w:rPr>
              <w:rFonts w:ascii="Times New Roman" w:hAnsi="Times New Roman" w:cs="Times New Roman"/>
              <w:sz w:val="16"/>
              <w:szCs w:val="16"/>
              <w:lang w:eastAsia="zh-CN"/>
            </w:rPr>
          </w:pP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  <w:t xml:space="preserve">– это просто добавь воды!</w:t>
          </w:r>
          <w:r>
            <w:rPr>
              <w:rFonts w:ascii="Times New Roman" w:hAnsi="Times New Roman" w:cs="Times New Roman"/>
              <w:sz w:val="16"/>
              <w:szCs w:val="16"/>
              <w:lang w:eastAsia="zh-CN"/>
            </w:rPr>
          </w:r>
        </w:p>
      </w:tc>
      <w:tc>
        <w:tcPr>
          <w:tcW w:w="478" w:type="pct"/>
          <w:vAlign w:val="center"/>
          <w:textDirection w:val="lrTb"/>
          <w:noWrap w:val="false"/>
        </w:tcPr>
        <w:p>
          <w:pPr>
            <w:jc w:val="center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sz w:val="16"/>
              <w:szCs w:val="16"/>
            </w:rPr>
            <w:object w:dxaOrig="3900" w:dyaOrig="390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.75pt;height:39.75pt;mso-wrap-distance-left:0.00pt;mso-wrap-distance-top:0.00pt;mso-wrap-distance-right:0.00pt;mso-wrap-distance-bottom:0.00pt;" filled="f" stroked="f">
                <v:path textboxrect="0,0,0,0"/>
                <v:imagedata r:id="rId3" o:title=""/>
              </v:shape>
              <o:OLEObject DrawAspect="Content" r:id="rId4" ObjectID="_1525041" ProgID="PBrush" ShapeID="_x0000_i1" Type="Embed"/>
            </w:objec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</w:tc>
      <w:tc>
        <w:tcPr>
          <w:tcW w:w="1273" w:type="pct"/>
          <w:vAlign w:val="center"/>
          <w:textDirection w:val="lrTb"/>
          <w:noWrap w:val="false"/>
        </w:tcPr>
        <w:p>
          <w:pPr>
            <w:jc w:val="right"/>
            <w:spacing w:after="0"/>
            <w:rPr>
              <w:rFonts w:ascii="Times New Roman" w:hAnsi="Times New Roman" w:cs="Times New Roman"/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t xml:space="preserve">Тел./Факс: 8 (3452) 28-54-48, </w:t>
          </w:r>
          <w:r>
            <w:rPr>
              <w:rFonts w:ascii="Times New Roman" w:hAnsi="Times New Roman" w:cs="Times New Roman"/>
              <w:color w:val="000000"/>
              <w:sz w:val="16"/>
              <w:szCs w:val="16"/>
            </w:rPr>
            <w:br/>
            <w:t xml:space="preserve">сайт: </w:t>
          </w:r>
          <w:hyperlink r:id="rId5" w:tooltip="https://melang72.ru" w:history="1">
            <w:r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https://melang72.ru</w:t>
            </w:r>
          </w:hyperlink>
          <w:r/>
          <w:r>
            <w:rPr>
              <w:rFonts w:ascii="Times New Roman" w:hAnsi="Times New Roman" w:cs="Times New Roman"/>
              <w:color w:val="000000"/>
              <w:sz w:val="16"/>
              <w:szCs w:val="16"/>
            </w:rPr>
          </w:r>
        </w:p>
        <w:p>
          <w:pPr>
            <w:pStyle w:val="837"/>
            <w:jc w:val="right"/>
            <w:spacing w:before="0" w:after="0"/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  <w:outlineLvl w:val="0"/>
          </w:pP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e-mail</w:t>
          </w: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: </w:t>
          </w:r>
          <w:hyperlink r:id="rId6" w:tooltip="mailto:melange72@yandex.ru" w:history="1">
            <w:r>
              <w:rPr>
                <w:rFonts w:ascii="Times New Roman" w:hAnsi="Times New Roman" w:cs="Times New Roman"/>
                <w:b w:val="0"/>
                <w:color w:val="0000ff"/>
                <w:sz w:val="16"/>
                <w:szCs w:val="16"/>
                <w:lang w:val="en-US"/>
              </w:rPr>
              <w:t xml:space="preserve">melange72@yandex.ru</w:t>
            </w:r>
          </w:hyperlink>
          <w:r/>
          <w:r>
            <w:rPr>
              <w:rFonts w:ascii="Times New Roman" w:hAnsi="Times New Roman" w:eastAsia="Times New Roman" w:cs="Times New Roman"/>
              <w:b w:val="0"/>
              <w:sz w:val="16"/>
              <w:szCs w:val="16"/>
              <w:lang w:val="en-US"/>
            </w:rPr>
          </w:r>
        </w:p>
      </w:tc>
    </w:tr>
  </w:tbl>
  <w:p>
    <w:pPr>
      <w:pStyle w:val="844"/>
      <w:rPr>
        <w:lang w:val="en-US"/>
      </w:rPr>
    </w:pPr>
    <w:r/>
    <w:bookmarkStart w:id="0" w:name="_GoBack"/>
    <w:r/>
    <w:bookmarkEnd w:id="0"/>
    <w:r/>
    <w:r>
      <w:rPr>
        <w:lang w:val="en-US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838"/>
    <w:link w:val="837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836"/>
    <w:next w:val="836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838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836"/>
    <w:next w:val="836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838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836"/>
    <w:next w:val="836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838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836"/>
    <w:next w:val="836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838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836"/>
    <w:next w:val="836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838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836"/>
    <w:next w:val="836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838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836"/>
    <w:next w:val="836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838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836"/>
    <w:next w:val="836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838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836"/>
    <w:next w:val="836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838"/>
    <w:link w:val="35"/>
    <w:uiPriority w:val="10"/>
    <w:rPr>
      <w:sz w:val="48"/>
      <w:szCs w:val="48"/>
    </w:rPr>
  </w:style>
  <w:style w:type="paragraph" w:styleId="37">
    <w:name w:val="Subtitle"/>
    <w:basedOn w:val="836"/>
    <w:next w:val="836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838"/>
    <w:link w:val="37"/>
    <w:uiPriority w:val="11"/>
    <w:rPr>
      <w:sz w:val="24"/>
      <w:szCs w:val="24"/>
    </w:rPr>
  </w:style>
  <w:style w:type="paragraph" w:styleId="39">
    <w:name w:val="Quote"/>
    <w:basedOn w:val="836"/>
    <w:next w:val="836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836"/>
    <w:next w:val="836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character" w:styleId="44">
    <w:name w:val="Header Char"/>
    <w:basedOn w:val="838"/>
    <w:link w:val="844"/>
    <w:uiPriority w:val="99"/>
  </w:style>
  <w:style w:type="character" w:styleId="46">
    <w:name w:val="Footer Char"/>
    <w:basedOn w:val="838"/>
    <w:link w:val="846"/>
    <w:uiPriority w:val="99"/>
  </w:style>
  <w:style w:type="paragraph" w:styleId="47">
    <w:name w:val="Caption"/>
    <w:basedOn w:val="836"/>
    <w:next w:val="836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838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836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838"/>
    <w:uiPriority w:val="99"/>
    <w:unhideWhenUsed/>
    <w:rPr>
      <w:vertAlign w:val="superscript"/>
    </w:rPr>
  </w:style>
  <w:style w:type="paragraph" w:styleId="179">
    <w:name w:val="endnote text"/>
    <w:basedOn w:val="836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838"/>
    <w:uiPriority w:val="99"/>
    <w:semiHidden/>
    <w:unhideWhenUsed/>
    <w:rPr>
      <w:vertAlign w:val="superscript"/>
    </w:rPr>
  </w:style>
  <w:style w:type="paragraph" w:styleId="182">
    <w:name w:val="toc 1"/>
    <w:basedOn w:val="836"/>
    <w:next w:val="836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836"/>
    <w:next w:val="836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836"/>
    <w:next w:val="836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836"/>
    <w:next w:val="836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836"/>
    <w:next w:val="836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836"/>
    <w:next w:val="836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836"/>
    <w:next w:val="836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836"/>
    <w:next w:val="836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836"/>
    <w:next w:val="836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836"/>
    <w:next w:val="836"/>
    <w:uiPriority w:val="99"/>
    <w:unhideWhenUsed/>
    <w:pPr>
      <w:spacing w:after="0" w:afterAutospacing="0"/>
    </w:pPr>
  </w:style>
  <w:style w:type="paragraph" w:styleId="836" w:default="1">
    <w:name w:val="Normal"/>
    <w:qFormat/>
    <w:pPr>
      <w:spacing w:after="160" w:line="256" w:lineRule="auto"/>
    </w:pPr>
    <w:rPr>
      <w:rFonts w:ascii="Calibri" w:hAnsi="Calibri" w:eastAsia="Calibri" w:cs="Calibri"/>
      <w:lang w:eastAsia="ru-RU"/>
    </w:rPr>
  </w:style>
  <w:style w:type="paragraph" w:styleId="837">
    <w:name w:val="Heading 1"/>
    <w:basedOn w:val="836"/>
    <w:next w:val="836"/>
    <w:link w:val="841"/>
    <w:qFormat/>
    <w:pPr>
      <w:keepNext/>
      <w:spacing w:before="240" w:after="60" w:line="240" w:lineRule="auto"/>
      <w:outlineLvl w:val="0"/>
    </w:pPr>
    <w:rPr>
      <w:rFonts w:ascii="Arial" w:hAnsi="Arial" w:eastAsia="SimSun" w:cs="Arial"/>
      <w:b/>
      <w:bCs/>
      <w:sz w:val="32"/>
      <w:szCs w:val="32"/>
      <w:lang w:eastAsia="zh-CN"/>
    </w:rPr>
  </w:style>
  <w:style w:type="character" w:styleId="838" w:default="1">
    <w:name w:val="Default Paragraph Font"/>
    <w:uiPriority w:val="1"/>
    <w:semiHidden/>
    <w:unhideWhenUsed/>
  </w:style>
  <w:style w:type="table" w:styleId="83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0" w:default="1">
    <w:name w:val="No List"/>
    <w:uiPriority w:val="99"/>
    <w:semiHidden/>
    <w:unhideWhenUsed/>
  </w:style>
  <w:style w:type="character" w:styleId="841" w:customStyle="1">
    <w:name w:val="Заголовок 1 Знак"/>
    <w:basedOn w:val="838"/>
    <w:link w:val="837"/>
    <w:rPr>
      <w:rFonts w:ascii="Arial" w:hAnsi="Arial" w:eastAsia="SimSun" w:cs="Arial"/>
      <w:b/>
      <w:bCs/>
      <w:sz w:val="32"/>
      <w:szCs w:val="32"/>
      <w:lang w:eastAsia="zh-CN"/>
    </w:rPr>
  </w:style>
  <w:style w:type="paragraph" w:styleId="842">
    <w:name w:val="List Paragraph"/>
    <w:basedOn w:val="836"/>
    <w:uiPriority w:val="34"/>
    <w:qFormat/>
    <w:pPr>
      <w:contextualSpacing/>
      <w:ind w:left="720"/>
    </w:pPr>
  </w:style>
  <w:style w:type="table" w:styleId="843">
    <w:name w:val="Table Grid"/>
    <w:basedOn w:val="839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44">
    <w:name w:val="Header"/>
    <w:basedOn w:val="836"/>
    <w:link w:val="84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5" w:customStyle="1">
    <w:name w:val="Верхний колонтитул Знак"/>
    <w:basedOn w:val="838"/>
    <w:link w:val="844"/>
    <w:uiPriority w:val="99"/>
    <w:rPr>
      <w:rFonts w:ascii="Calibri" w:hAnsi="Calibri" w:eastAsia="Calibri" w:cs="Calibri"/>
      <w:lang w:eastAsia="ru-RU"/>
    </w:rPr>
  </w:style>
  <w:style w:type="paragraph" w:styleId="846">
    <w:name w:val="Footer"/>
    <w:basedOn w:val="836"/>
    <w:link w:val="84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47" w:customStyle="1">
    <w:name w:val="Нижний колонтитул Знак"/>
    <w:basedOn w:val="838"/>
    <w:link w:val="846"/>
    <w:uiPriority w:val="99"/>
    <w:rPr>
      <w:rFonts w:ascii="Calibri" w:hAnsi="Calibri" w:eastAsia="Calibri" w:cs="Calibri"/>
      <w:lang w:eastAsia="ru-RU"/>
    </w:rPr>
  </w:style>
  <w:style w:type="paragraph" w:styleId="848">
    <w:name w:val="Balloon Text"/>
    <w:basedOn w:val="836"/>
    <w:link w:val="84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9" w:customStyle="1">
    <w:name w:val="Текст выноски Знак"/>
    <w:basedOn w:val="838"/>
    <w:link w:val="848"/>
    <w:uiPriority w:val="99"/>
    <w:semiHidden/>
    <w:rPr>
      <w:rFonts w:ascii="Tahoma" w:hAnsi="Tahoma" w:eastAsia="Calibri" w:cs="Tahoma"/>
      <w:sz w:val="16"/>
      <w:szCs w:val="16"/>
      <w:lang w:eastAsia="ru-RU"/>
    </w:rPr>
  </w:style>
  <w:style w:type="paragraph" w:styleId="850">
    <w:name w:val="Normal (Web)"/>
    <w:basedOn w:val="836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3.png"/><Relationship Id="rId16" Type="http://schemas.openxmlformats.org/officeDocument/2006/relationships/oleObject" Target="embeddings/oleObject3.bin"/><Relationship Id="rId17" Type="http://schemas.openxmlformats.org/officeDocument/2006/relationships/image" Target="media/image4.png"/><Relationship Id="rId18" Type="http://schemas.openxmlformats.org/officeDocument/2006/relationships/oleObject" Target="embeddings/oleObject4.bin"/><Relationship Id="rId19" Type="http://schemas.openxmlformats.org/officeDocument/2006/relationships/image" Target="media/image5.jp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oleObject" Target="embeddings/oleObject5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oleObject" Target="embeddings/oleObject2.bin"/><Relationship Id="rId5" Type="http://schemas.openxmlformats.org/officeDocument/2006/relationships/hyperlink" Target="https://melang72.ru" TargetMode="External"/><Relationship Id="rId6" Type="http://schemas.openxmlformats.org/officeDocument/2006/relationships/hyperlink" Target="mailto:melange72@yandex.ru" TargetMode="External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Егор Шелудков</cp:lastModifiedBy>
  <cp:revision>7</cp:revision>
  <dcterms:created xsi:type="dcterms:W3CDTF">2024-01-26T06:36:00Z</dcterms:created>
  <dcterms:modified xsi:type="dcterms:W3CDTF">2026-05-22T08:37:58Z</dcterms:modified>
</cp:coreProperties>
</file>