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Кладочная смесь для газоблока и силиката М-100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ПАСПОРТ  КАЧЕСТВА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843"/>
        <w:tblW w:w="0" w:type="auto"/>
        <w:tblLook w:val="04A0" w:firstRow="1" w:lastRow="0" w:firstColumn="1" w:lastColumn="0" w:noHBand="0" w:noVBand="1"/>
      </w:tblPr>
      <w:tblGrid>
        <w:gridCol w:w="3366"/>
        <w:gridCol w:w="627"/>
        <w:gridCol w:w="4516"/>
        <w:gridCol w:w="1911"/>
      </w:tblGrid>
      <w:tr>
        <w:tblPrEx/>
        <w:trPr/>
        <w:tc>
          <w:tcPr>
            <w:gridSpan w:val="4"/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Смесь сухая строительная кладочная цементная производится в соответствии с ГОСТ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58272-2018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89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Тара: мешок 25 кг.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показателей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Фактические результаты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80"/>
        </w:trPr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8970" w:dyaOrig="1413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width:111.00pt;height:175.50pt;mso-wrap-distance-left:0.00pt;mso-wrap-distance-top:0.00pt;mso-wrap-distance-right:0.00pt;mso-wrap-distance-bottom:0.00pt;" filled="f" stroked="f">
                  <v:path textboxrect="0,0,0,0"/>
                  <v:imagedata r:id="rId15" o:title=""/>
                </v:shape>
                <o:OLEObject DrawAspect="Content" r:id="rId16" ObjectID="_1525042" ProgID="PBrush" ShapeID="_x0000_i2" Type="Embed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33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Влажность по массе,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44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Наибольшая крупность зёрен заполнителя (остаток на сите),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66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зерен наибольшей крупности, 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расплыву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58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Тара: МКР 1 тонна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Сохраняемость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85"/>
        </w:trPr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2850" w:dyaOrig="465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width:157.50pt;height:222.00pt;mso-wrap-distance-left:0.00pt;mso-wrap-distance-top:0.00pt;mso-wrap-distance-right:0.00pt;mso-wrap-distance-bottom:0.00pt;" filled="f" stroked="f">
                  <v:path textboxrect="0,0,0,0"/>
                  <v:imagedata r:id="rId17" o:title=""/>
                </v:shape>
                <o:OLEObject DrawAspect="Content" r:id="rId18" ObjectID="_1525043" ProgID="PBrush" ShapeID="_x0000_i3" Type="Embed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корректировки,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сжатие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28 суток, 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06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при сдвиге в возрасте 28 суток, 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89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водопоглащение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кг/м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 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99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Морозостойкость, циклов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Удельная эффективная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радионуклидов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Аэфф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370 Бк/кг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58"/>
        </w:trPr>
        <w:tc>
          <w:tcPr>
            <w:gridSpan w:val="4"/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хранения 12 месяцев с даты изготовления, в сухом помещении и плотно закрытой заводской упаковке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СВИДЕТЕЛЬСТВО О ГОСУДАРСТВЕННОЙ РЕГИСТРАЦИИ ПРОДУКЦИИ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843"/>
        <w:tblW w:w="0" w:type="auto"/>
        <w:tblLook w:val="04A0" w:firstRow="1" w:lastRow="0" w:firstColumn="1" w:lastColumn="0" w:noHBand="0" w:noVBand="1"/>
      </w:tblPr>
      <w:tblGrid>
        <w:gridCol w:w="10420"/>
      </w:tblGrid>
      <w:tr>
        <w:tblPrEx/>
        <w:trPr/>
        <w:tc>
          <w:tcPr>
            <w:tcW w:w="104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49950" cy="8618220"/>
                      <wp:effectExtent l="0" t="0" r="0" b="0"/>
                      <wp:docPr id="5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49950" cy="8618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468.50pt;height:678.6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spacing w:after="200" w:line="276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ДЕКЛАРАЦИЯ О СООТВЕТСТВИИ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843"/>
        <w:tblW w:w="0" w:type="auto"/>
        <w:tblLook w:val="04A0" w:firstRow="1" w:lastRow="0" w:firstColumn="1" w:lastColumn="0" w:noHBand="0" w:noVBand="1"/>
      </w:tblPr>
      <w:tblGrid>
        <w:gridCol w:w="10140"/>
      </w:tblGrid>
      <w:tr>
        <w:tblPrEx/>
        <w:trPr>
          <w:trHeight w:val="14185"/>
        </w:trPr>
        <w:tc>
          <w:tcPr>
            <w:tcW w:w="101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2515" cy="7093585"/>
                      <wp:effectExtent l="0" t="0" r="635" b="0"/>
                      <wp:docPr id="6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2515" cy="7093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484.45pt;height:558.55pt;mso-wrap-distance-left:0.00pt;mso-wrap-distance-top:0.00pt;mso-wrap-distance-right:0.00pt;mso-wrap-distance-bottom:0.00pt;" stroked="false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МЕШКОТАРА 25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кг.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843"/>
        <w:tblW w:w="0" w:type="auto"/>
        <w:tblLook w:val="04A0" w:firstRow="1" w:lastRow="0" w:firstColumn="1" w:lastColumn="0" w:noHBand="0" w:noVBand="1"/>
      </w:tblPr>
      <w:tblGrid>
        <w:gridCol w:w="10420"/>
      </w:tblGrid>
      <w:tr>
        <w:tblPrEx/>
        <w:trPr>
          <w:trHeight w:val="563"/>
        </w:trPr>
        <w:tc>
          <w:tcPr>
            <w:tcW w:w="104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8970" w:dyaOrig="1413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6" o:spid="_x0000_s6" type="#_x0000_t75" style="width:418.50pt;height:658.50pt;mso-wrap-distance-left:0.00pt;mso-wrap-distance-top:0.00pt;mso-wrap-distance-right:0.00pt;mso-wrap-distance-bottom:0.00pt;" filled="f" stroked="f">
                  <v:path textboxrect="0,0,0,0"/>
                  <v:imagedata r:id="rId21" o:title=""/>
                </v:shape>
                <o:OLEObject DrawAspect="Content" r:id="rId22" ObjectID="_1525046" ProgID="PBrush" ShapeID="_x0000_i6" Type="Embed"/>
              </w:objec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200" w:line="276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ОПИСАНИЕ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843"/>
        <w:tblW w:w="0" w:type="auto"/>
        <w:tblLook w:val="04A0" w:firstRow="1" w:lastRow="0" w:firstColumn="1" w:lastColumn="0" w:noHBand="0" w:noVBand="1"/>
      </w:tblPr>
      <w:tblGrid>
        <w:gridCol w:w="10420"/>
      </w:tblGrid>
      <w:tr>
        <w:tblPrEx/>
        <w:trPr>
          <w:trHeight w:val="577"/>
        </w:trPr>
        <w:tc>
          <w:tcPr>
            <w:tcW w:w="10420" w:type="dxa"/>
            <w:textDirection w:val="lrTb"/>
            <w:noWrap w:val="false"/>
          </w:tcPr>
          <w:p>
            <w:pPr>
              <w:pStyle w:val="850"/>
              <w:jc w:val="both"/>
              <w:spacing w:before="0" w:beforeAutospacing="0" w:after="160" w:afterAutospacing="0" w:line="338" w:lineRule="atLeast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Кладочная смесь для газоблока и силиката М-100</w:t>
            </w:r>
            <w:r>
              <w:rPr>
                <w:b/>
                <w:color w:val="262626"/>
              </w:rPr>
            </w:r>
          </w:p>
          <w:p>
            <w:pPr>
              <w:pStyle w:val="850"/>
              <w:jc w:val="both"/>
              <w:spacing w:before="0" w:beforeAutospacing="0" w:after="0" w:afterAutospacing="0"/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Кладочная смесь универсальная водостойкая всесезонная для газобетонных и силикатных блоков применяется при наружных и внутренних работах в помещениях с нормальной и повышенной влажностью.</w:t>
            </w:r>
            <w:r>
              <w:rPr>
                <w:shd w:val="clear" w:color="auto" w:fill="ffffff"/>
              </w:rPr>
            </w:r>
          </w:p>
          <w:p>
            <w:pPr>
              <w:pStyle w:val="850"/>
              <w:jc w:val="both"/>
              <w:spacing w:before="0" w:beforeAutospacing="0" w:after="0" w:afterAutospacing="0"/>
              <w:shd w:val="clear" w:color="auto" w:fill="ffffff"/>
            </w:pPr>
            <w:r/>
            <w:r/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основы: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42"/>
              <w:numPr>
                <w:ilvl w:val="0"/>
                <w:numId w:val="8"/>
              </w:num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Укладку клеевого раствора производят на основание, очищенное от снега, наледи, мусора и сильных загрязнений.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42"/>
              <w:numPr>
                <w:ilvl w:val="0"/>
                <w:numId w:val="8"/>
              </w:num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подготовки основания запрещается использовать горячую воду или продув горячим воздухом.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Условия проведения работ: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Температура воздуха при проведении работ – от - 0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до +35°С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Температура поверхности – не менее +5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spacing w:before="100" w:beforeAutospacing="1" w:after="20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Относительная влажность воздуха – не более 60%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50"/>
              <w:jc w:val="both"/>
              <w:spacing w:before="0" w:beforeAutospacing="0" w:after="0" w:afterAutospacing="0" w:line="276" w:lineRule="auto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Приготовление растворной смеси:</w:t>
            </w:r>
            <w:r>
              <w:rPr>
                <w:b/>
                <w:color w:val="222222"/>
              </w:rPr>
            </w:r>
          </w:p>
          <w:p>
            <w:pPr>
              <w:pStyle w:val="842"/>
              <w:numPr>
                <w:ilvl w:val="0"/>
                <w:numId w:val="9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приготовления используйте чистые емкости и инструменты.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Грязный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инструмент сократит жизнь готового раствора.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Сухую смесь предварительно перемешать (разрыхляют, если смесь слежалась).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ёмкость для приготовления раствора залить 0,22-0,25 л чистой воды на 1 кг смеси. Количество воды подбирается опытным путем до требуемой консистенции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2"/>
              <w:numPr>
                <w:ilvl w:val="0"/>
                <w:numId w:val="9"/>
              </w:numPr>
              <w:jc w:val="both"/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Сухую смесь постепенно добавляют в воду при перемешивании, добиваясь получения однородной консистенции, не содержащей комков;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Перемешивание осуществлять с помощью миксера или дрели с насадкой для вязких веществ.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Приготовленный раствор выдержать в течение 5-10 минут и снова интенсивно перемешать.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Загущать готовый раствор сухой смесью запрещается.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Запрещено добавлять в состав прочие смеси и составы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720"/>
              <w:jc w:val="both"/>
              <w:spacing w:before="100" w:beforeAutospacing="1"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50"/>
              <w:jc w:val="both"/>
              <w:spacing w:before="0" w:beforeAutospacing="0" w:after="240" w:afterAutospacing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Порядок работы:</w:t>
            </w:r>
            <w:r>
              <w:rPr>
                <w:b/>
                <w:color w:val="222222"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Работы необходимо проводить в резиновых перчатках. Для защиты дыхательных путей применять респиратор или марлевую повязку. При попадании в глаза немедленно промыть большим количеством воды.</w:t>
            </w:r>
            <w:r>
              <w:rPr>
                <w:b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Укладка первого ряда блоков начинается с самого высокого угла фундамента. </w:t>
            </w:r>
            <w:r>
              <w:rPr>
                <w:b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Блоки по одному укладываются на углах фундамента, тщательно выравниваются с помощью строительного уровня.</w:t>
            </w:r>
            <w:r>
              <w:rPr>
                <w:b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После укладывания и выравнивания угловых блоков между ними натягиваются строительные шнуры, после чего выкладываются остальные блоки.</w:t>
            </w:r>
            <w:r>
              <w:rPr>
                <w:b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Прежде чем приступить к укладке очередного ряда блоков следует использовать шлифовальную доску. </w:t>
            </w:r>
            <w:r>
              <w:rPr>
                <w:b/>
              </w:rPr>
            </w:r>
          </w:p>
          <w:p>
            <w:pPr>
              <w:pStyle w:val="850"/>
              <w:numPr>
                <w:ilvl w:val="0"/>
                <w:numId w:val="10"/>
              </w:numPr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shd w:val="clear" w:color="auto" w:fill="ffffff"/>
              </w:rPr>
              <w:t xml:space="preserve">Это делается для того, чтобы устранить все неровности на поверхности уже уложенного ряда блоков.</w:t>
            </w:r>
            <w:r>
              <w:rPr>
                <w:b/>
              </w:rPr>
            </w:r>
          </w:p>
          <w:p>
            <w:pPr>
              <w:ind w:left="36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jc w:val="both"/>
              <w:spacing w:before="0" w:beforeAutospacing="0" w:after="225" w:afterAutospacing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Условия транспортирования и хранения:</w:t>
            </w:r>
            <w:r>
              <w:rPr>
                <w:b/>
                <w:color w:val="222222"/>
              </w:rPr>
            </w:r>
          </w:p>
          <w:p>
            <w:pPr>
              <w:pStyle w:val="850"/>
              <w:numPr>
                <w:ilvl w:val="0"/>
                <w:numId w:val="11"/>
              </w:numPr>
              <w:jc w:val="both"/>
              <w:spacing w:before="0" w:beforeAutospacing="0" w:after="0" w:afterAutospacing="0"/>
              <w:rPr>
                <w:color w:val="222222"/>
              </w:rPr>
            </w:pPr>
            <w:r>
              <w:rPr>
                <w:color w:val="222222"/>
              </w:rPr>
              <w:t xml:space="preserve">Смесь транспортировать в соответствии с правилами перевозки грузов. Мешки с сухой </w:t>
            </w:r>
            <w:r>
              <w:rPr>
                <w:color w:val="222222"/>
              </w:rPr>
              <w:t xml:space="preserve">смесью хранить в крытых сухих помещениях в условиях, обеспечивающих сохранность упаковки и предохранение от увлажнения. Срок хранения в таре изготовителя – 6 месяцев со дня изготовления при соблюдении условий транспортирования и хранения.</w:t>
            </w:r>
            <w:r>
              <w:rPr>
                <w:color w:val="222222"/>
              </w:rPr>
            </w:r>
          </w:p>
          <w:p>
            <w:pPr>
              <w:pStyle w:val="850"/>
              <w:jc w:val="both"/>
              <w:spacing w:before="0" w:beforeAutospacing="0" w:after="0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tbl>
            <w:tblPr>
              <w:tblStyle w:val="843"/>
              <w:tblpPr w:horzAnchor="page" w:tblpX="781" w:vertAnchor="text" w:tblpY="1" w:leftFromText="180" w:topFromText="0" w:rightFromText="180" w:bottomFromText="0"/>
              <w:tblW w:w="0" w:type="auto"/>
              <w:tblLook w:val="04A0" w:firstRow="1" w:lastRow="0" w:firstColumn="1" w:lastColumn="0" w:noHBand="0" w:noVBand="1"/>
            </w:tblPr>
            <w:tblGrid>
              <w:gridCol w:w="5173"/>
              <w:gridCol w:w="1336"/>
            </w:tblGrid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Наибольшая крупность зерен заполнителя, </w:t>
                  </w:r>
                  <w:r>
                    <w:rPr>
                      <w:color w:val="222222"/>
                      <w:lang w:eastAsia="en-US"/>
                    </w:rPr>
                    <w:t xml:space="preserve">мм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0,63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Марка прочности на сжатие МПа, не менее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10 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Адгезия к основанию МПа, не менее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0,5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Расход воды на 1 кг сухой смеси, литров:</w:t>
                  </w:r>
                  <w:r>
                    <w:rPr>
                      <w:lang w:eastAsia="en-US"/>
                    </w:rPr>
                    <w:tab/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0,22-0,25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Расход воды на 25 кг сухой смеси, литров:</w:t>
                  </w:r>
                  <w:r>
                    <w:rPr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5,5-6,25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Жизнеспособность раствора мин., не менее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60 мин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  <w:tr>
              <w:tblPrEx/>
              <w:trPr>
                <w:trHeight w:val="358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173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Морозостойкость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vAlign w:val="center"/>
                  <w:textDirection w:val="lrTb"/>
                  <w:noWrap w:val="false"/>
                </w:tcPr>
                <w:p>
                  <w:pPr>
                    <w:pStyle w:val="850"/>
                    <w:jc w:val="center"/>
                    <w:spacing w:before="0" w:beforeAutospacing="0" w:after="0" w:afterAutospacing="0"/>
                    <w:rPr>
                      <w:color w:val="222222"/>
                      <w:lang w:eastAsia="en-US"/>
                    </w:rPr>
                  </w:pPr>
                  <w:r>
                    <w:rPr>
                      <w:color w:val="222222"/>
                      <w:lang w:eastAsia="en-US"/>
                    </w:rPr>
                    <w:t xml:space="preserve">Пк-3</w:t>
                  </w:r>
                  <w:r>
                    <w:rPr>
                      <w:color w:val="222222"/>
                      <w:lang w:eastAsia="en-US"/>
                    </w:rPr>
                  </w:r>
                </w:p>
              </w:tc>
            </w:tr>
          </w:tbl>
          <w:p>
            <w:pPr>
              <w:pStyle w:val="850"/>
              <w:ind w:left="720"/>
              <w:jc w:val="both"/>
              <w:spacing w:before="0" w:beforeAutospacing="0" w:after="225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p>
            <w:pPr>
              <w:pStyle w:val="850"/>
              <w:ind w:left="567"/>
              <w:jc w:val="center"/>
              <w:spacing w:before="0" w:beforeAutospacing="0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p>
            <w:pPr>
              <w:pStyle w:val="850"/>
              <w:ind w:left="720"/>
              <w:jc w:val="both"/>
              <w:spacing w:before="0" w:beforeAutospacing="0" w:after="225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p>
            <w:pPr>
              <w:pStyle w:val="850"/>
              <w:ind w:left="720"/>
              <w:jc w:val="both"/>
              <w:spacing w:before="0" w:beforeAutospacing="0" w:after="225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p>
            <w:pPr>
              <w:pStyle w:val="850"/>
              <w:ind w:left="720"/>
              <w:jc w:val="both"/>
              <w:spacing w:before="0" w:beforeAutospacing="0" w:after="225" w:afterAutospacing="0"/>
              <w:rPr>
                <w:color w:val="222222"/>
              </w:rPr>
            </w:pPr>
            <w:r>
              <w:rPr>
                <w:color w:val="222222"/>
              </w:rPr>
            </w:r>
            <w:r>
              <w:rPr>
                <w:color w:val="222222"/>
              </w:rPr>
            </w:r>
          </w:p>
          <w:p>
            <w:pPr>
              <w:tabs>
                <w:tab w:val="left" w:pos="73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7395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 58272-2018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2" w:right="851" w:bottom="567" w:left="851" w:header="137" w:footer="124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SimSun">
    <w:panose1 w:val="02020603020101020101"/>
  </w:font>
  <w:font w:name="Arial">
    <w:panose1 w:val="020B060402020202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tabs>
        <w:tab w:val="left" w:pos="1740" w:leader="none"/>
        <w:tab w:val="right" w:pos="10205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43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645"/>
      <w:gridCol w:w="905"/>
      <w:gridCol w:w="3199"/>
      <w:gridCol w:w="1028"/>
      <w:gridCol w:w="2643"/>
    </w:tblGrid>
    <w:tr>
      <w:tblPrEx/>
      <w:trPr>
        <w:trHeight w:val="717"/>
      </w:trPr>
      <w:tc>
        <w:tcPr>
          <w:tcW w:w="1274" w:type="pct"/>
          <w:vAlign w:val="center"/>
          <w:textDirection w:val="lrTb"/>
          <w:noWrap w:val="false"/>
        </w:tcPr>
        <w:p>
          <w:pPr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ИНН/КПП 7203388776/720301001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  <w:p>
          <w:pPr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625031 Тюменская обл., г. Тюмень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  <w:p>
          <w:pPr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ул. Тимофея 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Чаркова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, 8Б/1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</w:tc>
      <w:tc>
        <w:tcPr>
          <w:tcW w:w="434" w:type="pct"/>
          <w:vAlign w:val="center"/>
          <w:textDirection w:val="lrTb"/>
          <w:noWrap w:val="false"/>
        </w:tcPr>
        <w:p>
          <w:pPr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object w:dxaOrig="13500" w:dyaOrig="15780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0pt;height:39.00pt;mso-wrap-distance-left:0.00pt;mso-wrap-distance-top:0.00pt;mso-wrap-distance-right:0.00pt;mso-wrap-distance-bottom:0.00pt;" filled="f" stroked="f">
                <v:path textboxrect="0,0,0,0"/>
                <v:imagedata r:id="rId1" o:title=""/>
              </v:shape>
              <o:OLEObject DrawAspect="Content" r:id="rId2" ObjectID="_1525040" ProgID="PBrush" ShapeID="_x0000_i0" Type="Embed"/>
            </w:objec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</w:tc>
      <w:tc>
        <w:tcPr>
          <w:tcW w:w="1540" w:type="pct"/>
          <w:vAlign w:val="center"/>
          <w:textDirection w:val="lrTb"/>
          <w:noWrap w:val="false"/>
        </w:tcPr>
        <w:p>
          <w:pPr>
            <w:pStyle w:val="837"/>
            <w:jc w:val="center"/>
            <w:spacing w:before="0" w:after="0"/>
            <w:rPr>
              <w:rFonts w:ascii="Times New Roman" w:hAnsi="Times New Roman" w:eastAsia="Times New Roman" w:cs="Times New Roman"/>
              <w:b w:val="0"/>
              <w:sz w:val="16"/>
              <w:szCs w:val="16"/>
            </w:rPr>
            <w:outlineLvl w:val="0"/>
          </w:pPr>
          <w:r>
            <w:rPr>
              <w:rFonts w:ascii="Times New Roman" w:hAnsi="Times New Roman" w:eastAsia="Times New Roman" w:cs="Times New Roman"/>
              <w:b w:val="0"/>
              <w:sz w:val="16"/>
              <w:szCs w:val="16"/>
            </w:rPr>
            <w:t xml:space="preserve">Завод ООО «Меланж»</w:t>
          </w:r>
          <w:r>
            <w:rPr>
              <w:rFonts w:ascii="Times New Roman" w:hAnsi="Times New Roman" w:eastAsia="Times New Roman" w:cs="Times New Roman"/>
              <w:b w:val="0"/>
              <w:sz w:val="16"/>
              <w:szCs w:val="16"/>
            </w:rPr>
          </w:r>
        </w:p>
        <w:p>
          <w:pPr>
            <w:jc w:val="center"/>
            <w:spacing w:after="0"/>
            <w:rPr>
              <w:rFonts w:ascii="Times New Roman" w:hAnsi="Times New Roman" w:cs="Times New Roman"/>
              <w:sz w:val="16"/>
              <w:szCs w:val="16"/>
              <w:lang w:eastAsia="zh-CN"/>
            </w:rPr>
          </w:pPr>
          <w:r>
            <w:rPr>
              <w:rFonts w:ascii="Times New Roman" w:hAnsi="Times New Roman" w:cs="Times New Roman"/>
              <w:sz w:val="16"/>
              <w:szCs w:val="16"/>
              <w:lang w:eastAsia="zh-CN"/>
            </w:rPr>
            <w:t xml:space="preserve">Наши сухие строительные смеси</w:t>
          </w:r>
          <w:r>
            <w:rPr>
              <w:rFonts w:ascii="Times New Roman" w:hAnsi="Times New Roman" w:cs="Times New Roman"/>
              <w:sz w:val="16"/>
              <w:szCs w:val="16"/>
              <w:lang w:eastAsia="zh-CN"/>
            </w:rPr>
          </w:r>
        </w:p>
        <w:p>
          <w:pPr>
            <w:jc w:val="center"/>
            <w:spacing w:after="0"/>
            <w:rPr>
              <w:rFonts w:ascii="Times New Roman" w:hAnsi="Times New Roman" w:cs="Times New Roman"/>
              <w:sz w:val="16"/>
              <w:szCs w:val="16"/>
              <w:lang w:eastAsia="zh-CN"/>
            </w:rPr>
          </w:pPr>
          <w:r>
            <w:rPr>
              <w:rFonts w:ascii="Times New Roman" w:hAnsi="Times New Roman" w:cs="Times New Roman"/>
              <w:sz w:val="16"/>
              <w:szCs w:val="16"/>
              <w:lang w:eastAsia="zh-CN"/>
            </w:rPr>
            <w:t xml:space="preserve">– это просто добавь воды!</w:t>
          </w:r>
          <w:r>
            <w:rPr>
              <w:rFonts w:ascii="Times New Roman" w:hAnsi="Times New Roman" w:cs="Times New Roman"/>
              <w:sz w:val="16"/>
              <w:szCs w:val="16"/>
              <w:lang w:eastAsia="zh-CN"/>
            </w:rPr>
          </w:r>
        </w:p>
      </w:tc>
      <w:tc>
        <w:tcPr>
          <w:tcW w:w="478" w:type="pct"/>
          <w:vAlign w:val="center"/>
          <w:textDirection w:val="lrTb"/>
          <w:noWrap w:val="false"/>
        </w:tcPr>
        <w:p>
          <w:pPr>
            <w:jc w:val="center"/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sz w:val="16"/>
              <w:szCs w:val="16"/>
            </w:rPr>
            <w:object w:dxaOrig="3900" w:dyaOrig="3900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.50pt;height:40.50pt;mso-wrap-distance-left:0.00pt;mso-wrap-distance-top:0.00pt;mso-wrap-distance-right:0.00pt;mso-wrap-distance-bottom:0.00pt;" filled="f" stroked="f">
                <v:path textboxrect="0,0,0,0"/>
                <v:imagedata r:id="rId3" o:title=""/>
              </v:shape>
              <o:OLEObject DrawAspect="Content" r:id="rId4" ObjectID="_1525041" ProgID="PBrush" ShapeID="_x0000_i1" Type="Embed"/>
            </w:objec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</w:tc>
      <w:tc>
        <w:tcPr>
          <w:tcW w:w="1273" w:type="pct"/>
          <w:vAlign w:val="center"/>
          <w:textDirection w:val="lrTb"/>
          <w:noWrap w:val="false"/>
        </w:tcPr>
        <w:p>
          <w:pPr>
            <w:jc w:val="right"/>
            <w:spacing w:after="0"/>
            <w:rPr>
              <w:rFonts w:ascii="Times New Roman" w:hAnsi="Times New Roman" w:cs="Times New Roman"/>
              <w:color w:val="000000"/>
              <w:sz w:val="16"/>
              <w:szCs w:val="16"/>
            </w:r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  <w:between w:val="none" w:color="000000" w:sz="4" w:space="0"/>
            </w:pBdr>
          </w:pP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t xml:space="preserve">Тел./Факс: 8 (3452) 28-54-48, </w:t>
          </w:r>
          <w:r>
            <w:rPr>
              <w:rFonts w:ascii="Times New Roman" w:hAnsi="Times New Roman" w:cs="Times New Roman"/>
              <w:color w:val="000000"/>
              <w:sz w:val="16"/>
              <w:szCs w:val="16"/>
            </w:rPr>
            <w:br/>
            <w:t xml:space="preserve">сайт: </w:t>
          </w:r>
          <w:hyperlink r:id="rId5" w:tooltip="https://melang72.ru" w:history="1"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https://melang72.ru</w:t>
            </w:r>
          </w:hyperlink>
          <w:r/>
          <w:r>
            <w:rPr>
              <w:rFonts w:ascii="Times New Roman" w:hAnsi="Times New Roman" w:cs="Times New Roman"/>
              <w:color w:val="000000"/>
              <w:sz w:val="16"/>
              <w:szCs w:val="16"/>
            </w:rPr>
          </w:r>
        </w:p>
        <w:p>
          <w:pPr>
            <w:pStyle w:val="837"/>
            <w:jc w:val="right"/>
            <w:spacing w:before="0" w:after="0"/>
            <w:rPr>
              <w:rFonts w:ascii="Times New Roman" w:hAnsi="Times New Roman" w:eastAsia="Times New Roman" w:cs="Times New Roman"/>
              <w:b w:val="0"/>
              <w:sz w:val="16"/>
              <w:szCs w:val="16"/>
              <w:lang w:val="en-US"/>
            </w:rPr>
            <w:outlineLvl w:val="0"/>
          </w:pPr>
          <w:r>
            <w:rPr>
              <w:rFonts w:ascii="Times New Roman" w:hAnsi="Times New Roman" w:cs="Times New Roman"/>
              <w:b w:val="0"/>
              <w:color w:val="000000"/>
              <w:sz w:val="16"/>
              <w:szCs w:val="16"/>
              <w:lang w:val="en-US"/>
            </w:rPr>
            <w:t xml:space="preserve">e-mail</w:t>
          </w:r>
          <w:r>
            <w:rPr>
              <w:rFonts w:ascii="Times New Roman" w:hAnsi="Times New Roman" w:cs="Times New Roman"/>
              <w:b w:val="0"/>
              <w:color w:val="000000"/>
              <w:sz w:val="16"/>
              <w:szCs w:val="16"/>
              <w:lang w:val="en-US"/>
            </w:rPr>
            <w:t xml:space="preserve">: </w:t>
          </w:r>
          <w:hyperlink r:id="rId6" w:tooltip="mailto:melange72@yandex.ru" w:history="1">
            <w:r>
              <w:rPr>
                <w:rFonts w:ascii="Times New Roman" w:hAnsi="Times New Roman" w:cs="Times New Roman"/>
                <w:b w:val="0"/>
                <w:color w:val="0000ff"/>
                <w:sz w:val="16"/>
                <w:szCs w:val="16"/>
                <w:lang w:val="en-US"/>
              </w:rPr>
              <w:t xml:space="preserve">melange72@yandex.ru</w:t>
            </w:r>
          </w:hyperlink>
          <w:r/>
          <w:r>
            <w:rPr>
              <w:rFonts w:ascii="Times New Roman" w:hAnsi="Times New Roman" w:eastAsia="Times New Roman" w:cs="Times New Roman"/>
              <w:b w:val="0"/>
              <w:sz w:val="16"/>
              <w:szCs w:val="16"/>
              <w:lang w:val="en-US"/>
            </w:rPr>
          </w:r>
        </w:p>
      </w:tc>
    </w:tr>
  </w:tbl>
  <w:p>
    <w:pPr>
      <w:pStyle w:val="844"/>
      <w:rPr>
        <w:lang w:val="en-US"/>
      </w:rPr>
    </w:pPr>
    <w:r>
      <w:rPr>
        <w:lang w:val="en-US"/>
      </w:rPr>
    </w:r>
    <w:r>
      <w:rPr>
        <w:lang w:val="en-US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838"/>
    <w:link w:val="83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836"/>
    <w:next w:val="83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838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836"/>
    <w:next w:val="83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838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836"/>
    <w:next w:val="83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838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836"/>
    <w:next w:val="83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83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836"/>
    <w:next w:val="83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838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836"/>
    <w:next w:val="83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83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836"/>
    <w:next w:val="83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83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836"/>
    <w:next w:val="83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83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836"/>
    <w:next w:val="83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838"/>
    <w:link w:val="35"/>
    <w:uiPriority w:val="10"/>
    <w:rPr>
      <w:sz w:val="48"/>
      <w:szCs w:val="48"/>
    </w:rPr>
  </w:style>
  <w:style w:type="paragraph" w:styleId="37">
    <w:name w:val="Subtitle"/>
    <w:basedOn w:val="836"/>
    <w:next w:val="83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838"/>
    <w:link w:val="37"/>
    <w:uiPriority w:val="11"/>
    <w:rPr>
      <w:sz w:val="24"/>
      <w:szCs w:val="24"/>
    </w:rPr>
  </w:style>
  <w:style w:type="paragraph" w:styleId="39">
    <w:name w:val="Quote"/>
    <w:basedOn w:val="836"/>
    <w:next w:val="83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836"/>
    <w:next w:val="83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838"/>
    <w:link w:val="844"/>
    <w:uiPriority w:val="99"/>
  </w:style>
  <w:style w:type="character" w:styleId="46">
    <w:name w:val="Footer Char"/>
    <w:basedOn w:val="838"/>
    <w:link w:val="846"/>
    <w:uiPriority w:val="99"/>
  </w:style>
  <w:style w:type="paragraph" w:styleId="47">
    <w:name w:val="Caption"/>
    <w:basedOn w:val="836"/>
    <w:next w:val="83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838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83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838"/>
    <w:uiPriority w:val="99"/>
    <w:unhideWhenUsed/>
    <w:rPr>
      <w:vertAlign w:val="superscript"/>
    </w:rPr>
  </w:style>
  <w:style w:type="paragraph" w:styleId="179">
    <w:name w:val="endnote text"/>
    <w:basedOn w:val="83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838"/>
    <w:uiPriority w:val="99"/>
    <w:semiHidden/>
    <w:unhideWhenUsed/>
    <w:rPr>
      <w:vertAlign w:val="superscript"/>
    </w:rPr>
  </w:style>
  <w:style w:type="paragraph" w:styleId="182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spacing w:after="160" w:line="256" w:lineRule="auto"/>
    </w:pPr>
    <w:rPr>
      <w:rFonts w:ascii="Calibri" w:hAnsi="Calibri" w:eastAsia="Calibri" w:cs="Calibri"/>
      <w:lang w:eastAsia="ru-RU"/>
    </w:rPr>
  </w:style>
  <w:style w:type="paragraph" w:styleId="837">
    <w:name w:val="Heading 1"/>
    <w:basedOn w:val="836"/>
    <w:next w:val="836"/>
    <w:link w:val="841"/>
    <w:qFormat/>
    <w:pPr>
      <w:keepNext/>
      <w:spacing w:before="240" w:after="60" w:line="240" w:lineRule="auto"/>
      <w:outlineLvl w:val="0"/>
    </w:pPr>
    <w:rPr>
      <w:rFonts w:ascii="Arial" w:hAnsi="Arial" w:eastAsia="SimSun" w:cs="Arial"/>
      <w:b/>
      <w:bCs/>
      <w:sz w:val="32"/>
      <w:szCs w:val="32"/>
      <w:lang w:eastAsia="zh-CN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character" w:styleId="841" w:customStyle="1">
    <w:name w:val="Заголовок 1 Знак"/>
    <w:basedOn w:val="838"/>
    <w:link w:val="837"/>
    <w:rPr>
      <w:rFonts w:ascii="Arial" w:hAnsi="Arial" w:eastAsia="SimSun" w:cs="Arial"/>
      <w:b/>
      <w:bCs/>
      <w:sz w:val="32"/>
      <w:szCs w:val="32"/>
      <w:lang w:eastAsia="zh-CN"/>
    </w:rPr>
  </w:style>
  <w:style w:type="paragraph" w:styleId="842">
    <w:name w:val="List Paragraph"/>
    <w:basedOn w:val="836"/>
    <w:uiPriority w:val="34"/>
    <w:qFormat/>
    <w:pPr>
      <w:contextualSpacing/>
      <w:ind w:left="720"/>
    </w:pPr>
  </w:style>
  <w:style w:type="table" w:styleId="843">
    <w:name w:val="Table Grid"/>
    <w:basedOn w:val="83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4">
    <w:name w:val="Header"/>
    <w:basedOn w:val="836"/>
    <w:link w:val="84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5" w:customStyle="1">
    <w:name w:val="Верхний колонтитул Знак"/>
    <w:basedOn w:val="838"/>
    <w:link w:val="844"/>
    <w:uiPriority w:val="99"/>
    <w:rPr>
      <w:rFonts w:ascii="Calibri" w:hAnsi="Calibri" w:eastAsia="Calibri" w:cs="Calibri"/>
      <w:lang w:eastAsia="ru-RU"/>
    </w:rPr>
  </w:style>
  <w:style w:type="paragraph" w:styleId="846">
    <w:name w:val="Footer"/>
    <w:basedOn w:val="836"/>
    <w:link w:val="8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7" w:customStyle="1">
    <w:name w:val="Нижний колонтитул Знак"/>
    <w:basedOn w:val="838"/>
    <w:link w:val="846"/>
    <w:uiPriority w:val="99"/>
    <w:rPr>
      <w:rFonts w:ascii="Calibri" w:hAnsi="Calibri" w:eastAsia="Calibri" w:cs="Calibri"/>
      <w:lang w:eastAsia="ru-RU"/>
    </w:rPr>
  </w:style>
  <w:style w:type="paragraph" w:styleId="848">
    <w:name w:val="Balloon Text"/>
    <w:basedOn w:val="836"/>
    <w:link w:val="84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9" w:customStyle="1">
    <w:name w:val="Текст выноски Знак"/>
    <w:basedOn w:val="838"/>
    <w:link w:val="848"/>
    <w:uiPriority w:val="99"/>
    <w:semiHidden/>
    <w:rPr>
      <w:rFonts w:ascii="Tahoma" w:hAnsi="Tahoma" w:eastAsia="Calibri" w:cs="Tahoma"/>
      <w:sz w:val="16"/>
      <w:szCs w:val="16"/>
      <w:lang w:eastAsia="ru-RU"/>
    </w:rPr>
  </w:style>
  <w:style w:type="paragraph" w:styleId="850">
    <w:name w:val="Normal (Web)"/>
    <w:basedOn w:val="836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3.png"/><Relationship Id="rId16" Type="http://schemas.openxmlformats.org/officeDocument/2006/relationships/oleObject" Target="embeddings/oleObject3.bin"/><Relationship Id="rId17" Type="http://schemas.openxmlformats.org/officeDocument/2006/relationships/image" Target="media/image4.png"/><Relationship Id="rId18" Type="http://schemas.openxmlformats.org/officeDocument/2006/relationships/oleObject" Target="embeddings/oleObject4.bin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oleObject" Target="embeddings/oleObject5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Relationship Id="rId4" Type="http://schemas.openxmlformats.org/officeDocument/2006/relationships/oleObject" Target="embeddings/oleObject2.bin"/><Relationship Id="rId5" Type="http://schemas.openxmlformats.org/officeDocument/2006/relationships/hyperlink" Target="https://melang72.ru" TargetMode="External"/><Relationship Id="rId6" Type="http://schemas.openxmlformats.org/officeDocument/2006/relationships/hyperlink" Target="mailto:melange72@yandex.ru" TargetMode="External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Егор Шелудков</cp:lastModifiedBy>
  <cp:revision>6</cp:revision>
  <dcterms:created xsi:type="dcterms:W3CDTF">2024-01-31T07:00:00Z</dcterms:created>
  <dcterms:modified xsi:type="dcterms:W3CDTF">2026-05-22T10:37:51Z</dcterms:modified>
</cp:coreProperties>
</file>