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b/>
          <w:sz w:val="24"/>
          <w:szCs w:val="24"/>
        </w:rPr>
      </w:pPr>
      <w:r/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 xml:space="preserve">Штукатурка композитная М-50</w:t>
      </w:r>
      <w:r>
        <w:rPr>
          <w:rFonts w:ascii="Times New Roman" w:hAnsi="Times New Roman" w:cs="Times New Roman"/>
          <w:b/>
          <w:sz w:val="24"/>
          <w:szCs w:val="24"/>
        </w:rPr>
        <w:t xml:space="preserve"> Меланж Композит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универсальная</w:t>
      </w:r>
      <w:bookmarkEnd w:id="0"/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ПАСПОРТ  КАЧЕСТВА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785"/>
        <w:tblW w:w="0" w:type="auto"/>
        <w:tblLook w:val="04A0" w:firstRow="1" w:lastRow="0" w:firstColumn="1" w:lastColumn="0" w:noHBand="0" w:noVBand="1"/>
      </w:tblPr>
      <w:tblGrid>
        <w:gridCol w:w="3516"/>
        <w:gridCol w:w="540"/>
        <w:gridCol w:w="4583"/>
        <w:gridCol w:w="1781"/>
      </w:tblGrid>
      <w:tr>
        <w:tblPrEx/>
        <w:trPr/>
        <w:tc>
          <w:tcPr>
            <w:tcW w:w="35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мешок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кг.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/п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458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Наименование показателей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W w:w="178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Фактические результаты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890"/>
        </w:trPr>
        <w:tc>
          <w:tcPr>
            <w:tcW w:w="351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95200" cy="2829600"/>
                      <wp:effectExtent l="0" t="0" r="635" b="8890"/>
                      <wp:docPr id="3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95200" cy="2829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64.98pt;height:222.80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58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Цвет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78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От светло-серого до серого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833"/>
        </w:trPr>
        <w:tc>
          <w:tcPr>
            <w:tcW w:w="3516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58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Наибольшая крупность зёрен заполнителя (остаток на сите), %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78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1,25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844"/>
        </w:trPr>
        <w:tc>
          <w:tcPr>
            <w:tcW w:w="3516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58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Подвижность растворной смеси,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/см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78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ПК3 / 10 см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966"/>
        </w:trPr>
        <w:tc>
          <w:tcPr>
            <w:tcW w:w="3516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58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Сохраняемость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первоначальной подвижности,  мин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78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  <w:t xml:space="preserve">90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3516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58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Средняя плотность затвердевшего раствора,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/м3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78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1230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758"/>
        </w:trPr>
        <w:tc>
          <w:tcPr>
            <w:tcW w:w="35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Тара: МКР 1 тонна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58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Прочность на сжатие, Мпа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78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685"/>
        </w:trPr>
        <w:tc>
          <w:tcPr>
            <w:tcW w:w="3516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2850" w:dyaOrig="465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width:156.75pt;height:221.25pt;mso-wrap-distance-left:0.00pt;mso-wrap-distance-top:0.00pt;mso-wrap-distance-right:0.00pt;mso-wrap-distance-bottom:0.00pt;" filled="f" stroked="f">
                  <v:path textboxrect="0,0,0,0"/>
                  <v:imagedata r:id="rId12" o:title=""/>
                </v:shape>
                <o:OLEObject DrawAspect="Content" r:id="rId13" ObjectID="_1525043" ProgID="PBrush" ShapeID="_x0000_i3" Type="Embed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58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Прочность сцепления (адгезия) с основанием, Мпа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78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0,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850"/>
        </w:trPr>
        <w:tc>
          <w:tcPr>
            <w:tcW w:w="3516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58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Толщина слоя нанесения,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78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От 3 до 30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локально до 40 мм)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706"/>
        </w:trPr>
        <w:tc>
          <w:tcPr>
            <w:tcW w:w="3516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58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Температурный режим работ,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vertAlign w:val="superscript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78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От +5 до + 30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689"/>
        </w:trPr>
        <w:tc>
          <w:tcPr>
            <w:tcW w:w="3516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58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Расход воды на 1 кг смеси, литров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78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0,36 – 0,42 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699"/>
        </w:trPr>
        <w:tc>
          <w:tcPr>
            <w:tcW w:w="3516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58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Деформация усадки,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78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0,4 / 0,3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tcW w:w="3516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4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58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Расход на 1м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при толщине слоя 10 мм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78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 xml:space="preserve"> кг.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rHeight w:val="758"/>
        </w:trPr>
        <w:tc>
          <w:tcPr>
            <w:gridSpan w:val="4"/>
            <w:tcW w:w="104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хранения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месяцев с даты изготовления, в сухом помещении и плотно закрытой заводской упаковке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</w:tbl>
    <w:p>
      <w:pPr>
        <w:spacing w:after="0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0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СВИДЕТЕЛЬСТВО О ГОСУДАРСТВЕННОЙ РЕГИСТРАЦИИ ПРОДУКЦИИ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jc w:val="center"/>
        <w:spacing w:after="0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785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/>
        <w:tc>
          <w:tcPr>
            <w:tcW w:w="10421" w:type="dxa"/>
            <w:textDirection w:val="lrTb"/>
            <w:noWrap w:val="false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083559" cy="8515350"/>
                      <wp:effectExtent l="0" t="0" r="0" b="0"/>
                      <wp:docPr id="5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84456" cy="85166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79.02pt;height:670.5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color w:val="000000"/>
                <w:sz w:val="24"/>
                <w:szCs w:val="24"/>
              </w:rPr>
            </w:r>
          </w:p>
        </w:tc>
      </w:tr>
    </w:tbl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ДЕКЛАРАЦИЯ О СООТВЕТСТВИИ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785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/>
        <w:tc>
          <w:tcPr>
            <w:tcW w:w="10421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</w:r>
            <w:r>
              <w:rPr>
                <w:b/>
                <w:color w:val="000000"/>
                <w:sz w:val="24"/>
                <w:szCs w:val="24"/>
              </w:rPr>
            </w:r>
          </w:p>
          <w:p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52515" cy="7393940"/>
                      <wp:effectExtent l="0" t="0" r="635" b="0"/>
                      <wp:docPr id="6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152515" cy="7393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84.45pt;height:582.2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b/>
                <w:color w:val="000000"/>
                <w:sz w:val="24"/>
                <w:szCs w:val="24"/>
              </w:rPr>
            </w:r>
          </w:p>
        </w:tc>
      </w:tr>
    </w:tbl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0"/>
        <w:rPr>
          <w:rFonts w:ascii="Times New Roman" w:hAnsi="Times New Roman" w:eastAsia="Times New Roman" w:cs="Times New Roman"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spacing w:after="0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МЕШКОТАРА 3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 кг.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0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785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>
          <w:trHeight w:val="563"/>
        </w:trPr>
        <w:tc>
          <w:tcPr>
            <w:tcW w:w="10420" w:type="dxa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504399" cy="4143375"/>
                      <wp:effectExtent l="0" t="0" r="0" b="0"/>
                      <wp:docPr id="7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516301" cy="41509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512.16pt;height:326.25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200" w:line="276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ОПИСАНИЕ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tbl>
      <w:tblPr>
        <w:tblStyle w:val="785"/>
        <w:tblW w:w="0" w:type="auto"/>
        <w:tblLook w:val="04A0" w:firstRow="1" w:lastRow="0" w:firstColumn="1" w:lastColumn="0" w:noHBand="0" w:noVBand="1"/>
      </w:tblPr>
      <w:tblGrid>
        <w:gridCol w:w="10420"/>
      </w:tblGrid>
      <w:tr>
        <w:tblPrEx/>
        <w:trPr/>
        <w:tc>
          <w:tcPr>
            <w:tcW w:w="10420" w:type="dxa"/>
            <w:textDirection w:val="lrTb"/>
            <w:noWrap w:val="false"/>
          </w:tcPr>
          <w:p>
            <w:pPr>
              <w:pStyle w:val="792"/>
              <w:jc w:val="both"/>
              <w:spacing w:before="0" w:beforeAutospacing="0" w:after="160" w:afterAutospacing="0" w:line="338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Смесь сухая строительная на </w:t>
            </w:r>
            <w:r>
              <w:rPr>
                <w:sz w:val="28"/>
                <w:szCs w:val="28"/>
              </w:rPr>
              <w:t xml:space="preserve">цементном</w:t>
            </w:r>
            <w:r>
              <w:rPr>
                <w:sz w:val="28"/>
                <w:szCs w:val="28"/>
              </w:rPr>
              <w:t xml:space="preserve"> вяжущем для штукатурных работ:</w:t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Штукатурка универсальная Меланж Композит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pStyle w:val="792"/>
              <w:jc w:val="both"/>
              <w:spacing w:before="0" w:beforeAutospacing="0" w:after="160" w:afterAutospacing="0" w:line="338" w:lineRule="atLeast"/>
              <w:rPr>
                <w:b/>
                <w:bCs/>
                <w:color w:val="262626"/>
              </w:rPr>
            </w:pPr>
            <w:r>
              <w:rPr>
                <w:b/>
                <w:bCs/>
                <w:color w:val="262626"/>
              </w:rPr>
              <w:t xml:space="preserve">НАЗНАЧЕНИЕ</w:t>
            </w:r>
            <w:r>
              <w:rPr>
                <w:b/>
                <w:bCs/>
                <w:color w:val="262626"/>
              </w:rPr>
            </w:r>
          </w:p>
          <w:p>
            <w:pPr>
              <w:pStyle w:val="792"/>
              <w:ind w:firstLine="708"/>
              <w:jc w:val="both"/>
              <w:spacing w:before="0" w:beforeAutospacing="0" w:after="160" w:afterAutospacing="0" w:line="338" w:lineRule="atLeast"/>
              <w:rPr>
                <w:color w:val="262626"/>
              </w:rPr>
            </w:pPr>
            <w:r>
              <w:rPr>
                <w:color w:val="262626"/>
              </w:rPr>
              <w:t xml:space="preserve">Штукатурка с комплексом модифицирующих добавок.</w:t>
            </w:r>
            <w:r>
              <w:rPr>
                <w:color w:val="262626"/>
              </w:rPr>
              <w:t xml:space="preserve"> Используется при нанесении  ручным и механизированным способом  при выравнивании любых поверхностей стен внутри помещений. Применяется для выравнивания оснований из бетона, любого кирпича, бутового камня, пористых кладочных материалов, как штукатурка для </w:t>
            </w:r>
            <w:r>
              <w:rPr>
                <w:color w:val="262626"/>
              </w:rPr>
              <w:t xml:space="preserve">пеноблоков</w:t>
            </w:r>
            <w:r>
              <w:rPr>
                <w:color w:val="262626"/>
              </w:rPr>
              <w:t xml:space="preserve">, газобетон</w:t>
            </w:r>
            <w:r>
              <w:rPr>
                <w:color w:val="262626"/>
              </w:rPr>
              <w:t xml:space="preserve">а, пенобетона, шлакоблоков, газосиликатных, шлакобетонных блоков и блоков из ячеистого бетона. Благодаря высокой пластичности штукатурка легко набрасывается на основание и разравнивается слоем до 30 мм (локально до 40 мм), при высыхании не образует трещин.</w:t>
            </w:r>
            <w:r>
              <w:rPr>
                <w:color w:val="262626"/>
              </w:rPr>
            </w:r>
          </w:p>
          <w:p>
            <w:pPr>
              <w:pStyle w:val="792"/>
              <w:jc w:val="both"/>
              <w:spacing w:before="0" w:beforeAutospacing="0" w:after="160" w:afterAutospacing="0" w:line="338" w:lineRule="atLeast"/>
              <w:rPr>
                <w:b/>
                <w:bCs/>
                <w:color w:val="262626"/>
              </w:rPr>
            </w:pPr>
            <w:r>
              <w:rPr>
                <w:b/>
                <w:bCs/>
                <w:color w:val="262626"/>
              </w:rPr>
              <w:t xml:space="preserve">ПОДГОТОВКА ОСНОВАНИЯ:</w:t>
            </w:r>
            <w:r>
              <w:rPr>
                <w:b/>
                <w:bCs/>
                <w:color w:val="262626"/>
              </w:rPr>
            </w:r>
          </w:p>
          <w:p>
            <w:pPr>
              <w:pStyle w:val="792"/>
              <w:ind w:firstLine="708"/>
              <w:jc w:val="both"/>
              <w:spacing w:before="0" w:beforeAutospacing="0" w:after="160" w:afterAutospacing="0" w:line="338" w:lineRule="atLeast"/>
              <w:rPr>
                <w:color w:val="262626"/>
              </w:rPr>
            </w:pPr>
            <w:r>
              <w:rPr>
                <w:color w:val="262626"/>
              </w:rPr>
              <w:t xml:space="preserve">При проведении подготовительных работ рекомендуется руководствоваться СП 71.13330.2017. Поверхность должна быть тщательно </w:t>
            </w:r>
            <w:r>
              <w:rPr>
                <w:color w:val="262626"/>
              </w:rPr>
              <w:t xml:space="preserve">обеспыленной</w:t>
            </w:r>
            <w:r>
              <w:rPr>
                <w:color w:val="262626"/>
              </w:rPr>
              <w:t xml:space="preserve">, крепкой, очищенной от грязи, масел, жиров и различных красок, металлические элементы защитить антикоррозийными средствами. Имеющиеся сколы, выбоины, трещины, неровности и дефекты рекомендуется предварительно заделать. </w:t>
            </w:r>
            <w:r>
              <w:rPr>
                <w:color w:val="262626"/>
              </w:rPr>
            </w:r>
          </w:p>
          <w:p>
            <w:pPr>
              <w:pStyle w:val="792"/>
              <w:ind w:firstLine="708"/>
              <w:jc w:val="both"/>
              <w:spacing w:before="0" w:beforeAutospacing="0" w:after="160" w:afterAutospacing="0" w:line="338" w:lineRule="atLeast"/>
              <w:rPr>
                <w:color w:val="262626"/>
              </w:rPr>
            </w:pPr>
            <w:r>
              <w:rPr>
                <w:color w:val="262626"/>
              </w:rPr>
              <w:t xml:space="preserve">После устранения и просушивания всех заполненных дефектов, поверхность необходимо </w:t>
            </w:r>
            <w:r>
              <w:rPr>
                <w:color w:val="262626"/>
              </w:rPr>
              <w:t xml:space="preserve">прогрунтовать</w:t>
            </w:r>
            <w:r>
              <w:rPr>
                <w:color w:val="262626"/>
              </w:rPr>
              <w:t xml:space="preserve">. Гладким основаниям необходимо придать шероховатость. Тип грунтующего состава, а также количество слоев его нанесения выбираются в зависимости от впитывающей способности основания. </w:t>
            </w:r>
            <w:r>
              <w:rPr>
                <w:b/>
                <w:color w:val="262626"/>
              </w:rPr>
              <w:t xml:space="preserve">Пористые и </w:t>
            </w:r>
            <w:r>
              <w:rPr>
                <w:b/>
                <w:color w:val="262626"/>
              </w:rPr>
              <w:t xml:space="preserve">сильновпитывающие</w:t>
            </w:r>
            <w:r>
              <w:rPr>
                <w:b/>
                <w:color w:val="262626"/>
              </w:rPr>
              <w:t xml:space="preserve"> поверхности рекомендуется обработать грунтовкой МЕЛАНЖ.</w:t>
            </w:r>
            <w:r>
              <w:rPr>
                <w:color w:val="262626"/>
              </w:rPr>
              <w:t xml:space="preserve"> </w:t>
            </w:r>
            <w:r>
              <w:rPr>
                <w:color w:val="262626"/>
              </w:rPr>
            </w:r>
          </w:p>
          <w:p>
            <w:pPr>
              <w:pStyle w:val="792"/>
              <w:ind w:firstLine="708"/>
              <w:jc w:val="both"/>
              <w:spacing w:before="0" w:beforeAutospacing="0" w:after="160" w:afterAutospacing="0" w:line="338" w:lineRule="atLeast"/>
              <w:rPr>
                <w:color w:val="262626"/>
              </w:rPr>
            </w:pPr>
            <w:r>
              <w:rPr>
                <w:color w:val="262626"/>
              </w:rPr>
              <w:t xml:space="preserve">Металлические элементы необходимо защитить от коррозии. Нанесенное грунтовочное покрытие должно высохнуть. При необходимости установить направляющие профили – маяки. Шаг маяков должен быть на 20 см меньше длины правила.</w:t>
            </w:r>
            <w:r>
              <w:rPr>
                <w:color w:val="262626"/>
              </w:rPr>
            </w:r>
          </w:p>
          <w:p>
            <w:pPr>
              <w:pStyle w:val="792"/>
              <w:jc w:val="both"/>
              <w:spacing w:before="0" w:beforeAutospacing="0" w:after="160" w:afterAutospacing="0" w:line="276" w:lineRule="auto"/>
              <w:rPr>
                <w:b/>
                <w:color w:val="262626"/>
              </w:rPr>
            </w:pPr>
            <w:r>
              <w:rPr>
                <w:b/>
                <w:color w:val="262626"/>
              </w:rPr>
              <w:t xml:space="preserve">ПРИГОТОВЛЕНИЕ РАСТВОРА</w:t>
            </w:r>
            <w:r>
              <w:rPr>
                <w:b/>
                <w:color w:val="262626"/>
              </w:rPr>
            </w:r>
          </w:p>
          <w:p>
            <w:pPr>
              <w:pStyle w:val="792"/>
              <w:ind w:firstLine="708"/>
              <w:jc w:val="both"/>
              <w:spacing w:before="0" w:beforeAutospacing="0" w:after="160" w:afterAutospacing="0" w:line="276" w:lineRule="auto"/>
              <w:rPr>
                <w:color w:val="262626"/>
              </w:rPr>
            </w:pPr>
            <w:r>
              <w:rPr>
                <w:color w:val="262626"/>
              </w:rPr>
              <w:t xml:space="preserve">Сухую смесь высыпать в емкость с чистой водой комнатной температуры и перемешать до мягкого, однородного, </w:t>
            </w:r>
            <w:r>
              <w:rPr>
                <w:color w:val="262626"/>
              </w:rPr>
              <w:t xml:space="preserve">кремообразного</w:t>
            </w:r>
            <w:r>
              <w:rPr>
                <w:color w:val="262626"/>
              </w:rPr>
              <w:t xml:space="preserve"> состояния из расчета 10,5 - 12,6 литров на мешок 30 кг (0,36 – 0,42 л воды на 1 кг сухой смеси). Раствор выд</w:t>
            </w:r>
            <w:r>
              <w:rPr>
                <w:color w:val="262626"/>
              </w:rPr>
              <w:t xml:space="preserve">ержать в течение 3-5 минут и снова перемешать. Расход воды подбирается из указанного диапазона, исходя из необходимости получения рабочей консистенции, для дальнейшего проведения работ. Приготовленный раствор рекомендуется использовать в течение 1,5 часов.</w:t>
            </w:r>
            <w:r>
              <w:rPr>
                <w:color w:val="262626"/>
              </w:rPr>
            </w:r>
          </w:p>
          <w:p>
            <w:pPr>
              <w:pStyle w:val="792"/>
              <w:ind w:firstLine="708"/>
              <w:jc w:val="both"/>
              <w:spacing w:before="0" w:beforeAutospacing="0" w:after="160" w:afterAutospacing="0" w:line="276" w:lineRule="auto"/>
              <w:rPr>
                <w:color w:val="262626"/>
              </w:rPr>
            </w:pPr>
            <w:r>
              <w:rPr>
                <w:color w:val="262626"/>
              </w:rPr>
              <w:t xml:space="preserve">При использовании штукатурной станции – высыпать смесь в бункер, отрегулировать подачу воды в соответствии с требуемой консистенцией.</w:t>
            </w:r>
            <w:r>
              <w:rPr>
                <w:color w:val="262626"/>
              </w:rPr>
            </w:r>
          </w:p>
          <w:p>
            <w:pPr>
              <w:pStyle w:val="792"/>
              <w:jc w:val="both"/>
              <w:spacing w:before="0" w:beforeAutospacing="0" w:after="160" w:afterAutospacing="0" w:line="276" w:lineRule="auto"/>
              <w:rPr>
                <w:color w:val="262626"/>
              </w:rPr>
            </w:pPr>
            <w:r>
              <w:rPr>
                <w:color w:val="262626"/>
              </w:rPr>
              <w:t xml:space="preserve">Обратите внимание, что использование большого количества воды (сверх заявленного производителем) может повлечь снижение прочностных характеристик и появление трещин на готовой поверхности!</w:t>
            </w:r>
            <w:r>
              <w:rPr>
                <w:color w:val="262626"/>
              </w:rPr>
            </w:r>
          </w:p>
          <w:p>
            <w:pPr>
              <w:pStyle w:val="792"/>
              <w:jc w:val="both"/>
              <w:spacing w:before="0" w:beforeAutospacing="0" w:after="160" w:afterAutospacing="0" w:line="338" w:lineRule="atLeast"/>
              <w:rPr>
                <w:color w:val="262626"/>
              </w:rPr>
            </w:pPr>
            <w:r>
              <w:rPr>
                <w:b/>
                <w:bCs/>
                <w:color w:val="262626"/>
              </w:rPr>
              <w:t xml:space="preserve">ВАЖНО!</w:t>
            </w:r>
            <w:r>
              <w:rPr>
                <w:color w:val="262626"/>
              </w:rPr>
              <w:t xml:space="preserve"> Для предотвращения образования комков при перемешивании необходимо сухую смесь всыпать в емкость с отмеренным количеством воды, а не наоборот. Грязная тара и инструмент </w:t>
            </w:r>
            <w:r>
              <w:rPr>
                <w:color w:val="262626"/>
              </w:rPr>
              <w:t xml:space="preserve">сокращает время жизнеспособности приготовленной штукатурки.</w:t>
            </w:r>
            <w:r>
              <w:rPr>
                <w:color w:val="262626"/>
              </w:rPr>
            </w:r>
          </w:p>
          <w:p>
            <w:pPr>
              <w:pStyle w:val="792"/>
              <w:jc w:val="both"/>
              <w:spacing w:before="0" w:beforeAutospacing="0" w:after="160" w:afterAutospacing="0" w:line="338" w:lineRule="atLeast"/>
              <w:rPr>
                <w:color w:val="262626"/>
              </w:rPr>
            </w:pPr>
            <w:r>
              <w:rPr>
                <w:color w:val="262626"/>
              </w:rPr>
              <w:t xml:space="preserve">Не добавлять в штукатурку известь, цемент, гипс и другие материалы. Не использовать штукатурку в целях, не предусмотренных в данном техническом описании.</w:t>
            </w:r>
            <w:r>
              <w:rPr>
                <w:color w:val="262626"/>
              </w:rPr>
            </w:r>
          </w:p>
          <w:p>
            <w:pPr>
              <w:pStyle w:val="792"/>
              <w:jc w:val="both"/>
              <w:spacing w:before="0" w:beforeAutospacing="0" w:after="160" w:afterAutospacing="0" w:line="338" w:lineRule="atLeast"/>
              <w:rPr>
                <w:b/>
                <w:color w:val="262626"/>
              </w:rPr>
            </w:pPr>
            <w:r>
              <w:rPr>
                <w:b/>
                <w:color w:val="262626"/>
              </w:rPr>
              <w:t xml:space="preserve">ПРИМЕНЕНИЕ</w:t>
            </w:r>
            <w:r>
              <w:rPr>
                <w:b/>
                <w:color w:val="262626"/>
              </w:rPr>
            </w:r>
          </w:p>
          <w:p>
            <w:pPr>
              <w:pStyle w:val="792"/>
              <w:ind w:firstLine="708"/>
              <w:jc w:val="both"/>
              <w:spacing w:before="0" w:beforeAutospacing="0" w:after="160" w:afterAutospacing="0" w:line="338" w:lineRule="atLeast"/>
              <w:rPr>
                <w:color w:val="262626"/>
              </w:rPr>
            </w:pPr>
            <w:r>
              <w:rPr>
                <w:color w:val="262626"/>
              </w:rPr>
              <w:t xml:space="preserve">На поверхность стен установить маяки с  интервалом на 20-30 см меньше длины правила. Готовый раствор н</w:t>
            </w:r>
            <w:r>
              <w:rPr>
                <w:color w:val="262626"/>
              </w:rPr>
              <w:t xml:space="preserve">анести на подготовленное основание мастерком слоем от 3 до 30 мм (локально до 40мм) за один проход и выровнять правилом. При необходимости выравнивание можно выполнять в несколько слоев при условии полного высыхания предыдущего слоя (через 2-3 дня). При ош</w:t>
            </w:r>
            <w:r>
              <w:rPr>
                <w:color w:val="262626"/>
              </w:rPr>
              <w:t xml:space="preserve">тукатуривании в несколько слоев толщина последующих слоев должна быть меньше толщины предыдущих слоев. Нижний слой необходимо армировать штукатурной сеткой. Сетка должна располагаться на расстоянии от основания, равном 2/3 толщины нижнего слоя штукатурки. </w:t>
            </w:r>
            <w:r>
              <w:rPr>
                <w:color w:val="262626"/>
              </w:rPr>
              <w:t xml:space="preserve">Нахлест</w:t>
            </w:r>
            <w:r>
              <w:rPr>
                <w:color w:val="262626"/>
              </w:rPr>
              <w:t xml:space="preserve"> сетки в местах стыковки н</w:t>
            </w:r>
            <w:r>
              <w:rPr>
                <w:color w:val="262626"/>
              </w:rPr>
              <w:t xml:space="preserve">е менее 10 см. Не зависимо от слоя нанесения, необходимо усилить армирующей сеткой стыки оснований из различных материалов и другие критические зоны. При многослойном штукатурном покрытии каждый последующий слой наносится не ранее через 24 часа на заранее </w:t>
            </w:r>
            <w:r>
              <w:rPr>
                <w:color w:val="262626"/>
              </w:rPr>
              <w:t xml:space="preserve">прогрунтованную</w:t>
            </w:r>
            <w:r>
              <w:rPr>
                <w:color w:val="262626"/>
              </w:rPr>
              <w:t xml:space="preserve"> поверхность.</w:t>
            </w:r>
            <w:r>
              <w:rPr>
                <w:color w:val="262626"/>
              </w:rPr>
            </w:r>
          </w:p>
          <w:p>
            <w:pPr>
              <w:pStyle w:val="792"/>
              <w:ind w:firstLine="708"/>
              <w:jc w:val="both"/>
              <w:spacing w:before="0" w:beforeAutospacing="0" w:after="160" w:afterAutospacing="0" w:line="338" w:lineRule="atLeast"/>
              <w:rPr>
                <w:color w:val="262626"/>
              </w:rPr>
            </w:pPr>
            <w:r>
              <w:rPr>
                <w:color w:val="262626"/>
              </w:rPr>
              <w:t xml:space="preserve">При механизированном способе, нанесение растворной</w:t>
            </w:r>
            <w:r>
              <w:rPr>
                <w:color w:val="262626"/>
              </w:rPr>
              <w:t xml:space="preserve"> смеси на поверхность стены осуществляется слева направо и сверху вниз, т.е. начинать надо с левого верхнего угла. Толщина наносимого слоя регулируется скоростью перемещения пистолета (чем медленнее перемещение, тем толще слой растворной смеси и наоборот).</w:t>
            </w:r>
            <w:r>
              <w:rPr>
                <w:color w:val="262626"/>
              </w:rPr>
            </w:r>
          </w:p>
          <w:p>
            <w:pPr>
              <w:pStyle w:val="792"/>
              <w:ind w:firstLine="708"/>
              <w:jc w:val="both"/>
              <w:spacing w:before="0" w:beforeAutospacing="0" w:after="160" w:afterAutospacing="0" w:line="338" w:lineRule="atLeast"/>
              <w:rPr>
                <w:color w:val="262626"/>
              </w:rPr>
            </w:pPr>
            <w:r>
              <w:rPr>
                <w:color w:val="262626"/>
              </w:rPr>
              <w:t xml:space="preserve">Свеженанесенную штукатурку следует в течение 2 суток предохранять от воздействия прямых солнечных лучей, сквозняков, не допускать замораживания. После высыхания полученная поверхность готова под </w:t>
            </w:r>
            <w:r>
              <w:rPr>
                <w:color w:val="262626"/>
              </w:rPr>
              <w:t xml:space="preserve">тонкослойное</w:t>
            </w:r>
            <w:r>
              <w:rPr>
                <w:color w:val="262626"/>
              </w:rPr>
              <w:t xml:space="preserve"> шпатлевание или декоративную отделку.</w:t>
            </w:r>
            <w:r>
              <w:rPr>
                <w:color w:val="262626"/>
              </w:rPr>
            </w:r>
          </w:p>
          <w:p>
            <w:pPr>
              <w:pStyle w:val="792"/>
              <w:ind w:firstLine="708"/>
              <w:jc w:val="both"/>
              <w:spacing w:before="0" w:beforeAutospacing="0" w:after="160" w:afterAutospacing="0" w:line="338" w:lineRule="atLeast"/>
              <w:rPr>
                <w:color w:val="262626"/>
              </w:rPr>
            </w:pPr>
            <w:r>
              <w:rPr>
                <w:color w:val="262626"/>
              </w:rPr>
              <w:t xml:space="preserve">Все вышеуказанные рекомендации по применению верны при температуре от  +5</w:t>
            </w:r>
            <w:r>
              <w:rPr>
                <w:color w:val="262626"/>
              </w:rPr>
              <w:t xml:space="preserve">ºС</w:t>
            </w:r>
            <w:r>
              <w:rPr>
                <w:color w:val="262626"/>
              </w:rPr>
              <w:t xml:space="preserve"> и относительной влажности воздуха 60%</w:t>
            </w:r>
            <w:r>
              <w:rPr>
                <w:color w:val="262626"/>
              </w:rPr>
            </w:r>
          </w:p>
          <w:p>
            <w:pPr>
              <w:pStyle w:val="792"/>
              <w:jc w:val="both"/>
              <w:spacing w:before="0" w:beforeAutospacing="0" w:after="160" w:afterAutospacing="0" w:line="338" w:lineRule="atLeast"/>
              <w:rPr>
                <w:b/>
                <w:bCs/>
                <w:color w:val="262626"/>
              </w:rPr>
            </w:pPr>
            <w:r>
              <w:rPr>
                <w:b/>
                <w:bCs/>
                <w:color w:val="262626"/>
              </w:rPr>
              <w:t xml:space="preserve">МЕРЫ ПРЕДОСТОРОЖНОСТИ:</w:t>
            </w:r>
            <w:r>
              <w:rPr>
                <w:b/>
                <w:bCs/>
                <w:color w:val="262626"/>
              </w:rPr>
            </w:r>
          </w:p>
          <w:p>
            <w:pPr>
              <w:pStyle w:val="792"/>
              <w:ind w:firstLine="708"/>
              <w:jc w:val="both"/>
              <w:spacing w:before="0" w:beforeAutospacing="0" w:after="160" w:afterAutospacing="0" w:line="338" w:lineRule="atLeast"/>
              <w:rPr>
                <w:color w:val="262626"/>
              </w:rPr>
            </w:pPr>
            <w:r>
              <w:rPr>
                <w:color w:val="262626"/>
              </w:rPr>
              <w:t xml:space="preserve">Сухая смесь </w:t>
            </w:r>
            <w:r>
              <w:rPr>
                <w:color w:val="262626"/>
              </w:rPr>
              <w:t xml:space="preserve">взрыв</w:t>
            </w:r>
            <w:r>
              <w:rPr>
                <w:color w:val="262626"/>
              </w:rPr>
              <w:t xml:space="preserve">о</w:t>
            </w:r>
            <w:r>
              <w:rPr>
                <w:color w:val="262626"/>
              </w:rPr>
              <w:t xml:space="preserve">-</w:t>
            </w:r>
            <w:r>
              <w:rPr>
                <w:color w:val="262626"/>
              </w:rPr>
              <w:t xml:space="preserve"> и </w:t>
            </w:r>
            <w:r>
              <w:rPr>
                <w:color w:val="262626"/>
              </w:rPr>
              <w:t xml:space="preserve">пожаробезопасна</w:t>
            </w:r>
            <w:r>
              <w:rPr>
                <w:color w:val="262626"/>
              </w:rPr>
              <w:t xml:space="preserve">, не токсична, не содержит асбестовых волокон, экологически безопасна. При попадании смеси в глаза немедленно промыть большим количеством воды и обратиться к врачу.</w:t>
            </w:r>
            <w:r>
              <w:rPr>
                <w:color w:val="262626"/>
              </w:rPr>
            </w:r>
          </w:p>
          <w:p>
            <w:pPr>
              <w:pStyle w:val="792"/>
              <w:jc w:val="both"/>
              <w:spacing w:before="0" w:beforeAutospacing="0" w:after="160" w:afterAutospacing="0" w:line="338" w:lineRule="atLeast"/>
              <w:rPr>
                <w:b/>
                <w:bCs/>
                <w:color w:val="262626"/>
              </w:rPr>
            </w:pPr>
            <w:r>
              <w:rPr>
                <w:b/>
                <w:bCs/>
                <w:color w:val="262626"/>
              </w:rPr>
              <w:t xml:space="preserve">ХРАНЕНИЕ:</w:t>
            </w:r>
            <w:r>
              <w:rPr>
                <w:b/>
                <w:bCs/>
                <w:color w:val="262626"/>
              </w:rPr>
            </w:r>
          </w:p>
          <w:p>
            <w:pPr>
              <w:pStyle w:val="792"/>
              <w:ind w:firstLine="708"/>
              <w:jc w:val="both"/>
              <w:spacing w:before="0" w:beforeAutospacing="0" w:after="160" w:afterAutospacing="0" w:line="338" w:lineRule="atLeast"/>
              <w:rPr>
                <w:color w:val="262626"/>
              </w:rPr>
            </w:pPr>
            <w:r>
              <w:rPr>
                <w:color w:val="262626"/>
              </w:rPr>
              <w:t xml:space="preserve">C</w:t>
            </w:r>
            <w:r>
              <w:rPr>
                <w:color w:val="262626"/>
              </w:rPr>
              <w:t xml:space="preserve">рок</w:t>
            </w:r>
            <w:r>
              <w:rPr>
                <w:color w:val="262626"/>
              </w:rPr>
              <w:t xml:space="preserve"> хранения: 6 месяцев с даты производства (дата производства на торцевой части мешка). Хранить в сухом помещении в закрытой оригинальной упаковке избегая контакта мешка с влагой.</w:t>
            </w:r>
            <w:r>
              <w:rPr>
                <w:color w:val="262626"/>
              </w:rPr>
            </w:r>
          </w:p>
          <w:p>
            <w:pPr>
              <w:pStyle w:val="792"/>
              <w:jc w:val="both"/>
              <w:spacing w:before="0" w:beforeAutospacing="0" w:after="160" w:afterAutospacing="0" w:line="338" w:lineRule="atLeast"/>
              <w:rPr>
                <w:b/>
                <w:bCs/>
                <w:color w:val="262626"/>
              </w:rPr>
            </w:pPr>
            <w:r>
              <w:rPr>
                <w:b/>
                <w:bCs/>
                <w:color w:val="262626"/>
              </w:rPr>
              <w:t xml:space="preserve">СОСТАВ:</w:t>
            </w:r>
            <w:r>
              <w:rPr>
                <w:b/>
                <w:bCs/>
                <w:color w:val="262626"/>
              </w:rPr>
            </w:r>
          </w:p>
          <w:p>
            <w:pPr>
              <w:pStyle w:val="792"/>
              <w:ind w:firstLine="708"/>
              <w:jc w:val="both"/>
              <w:spacing w:before="0" w:beforeAutospacing="0" w:after="160" w:afterAutospacing="0" w:line="338" w:lineRule="atLeast"/>
              <w:rPr>
                <w:color w:val="262626"/>
              </w:rPr>
            </w:pPr>
            <w:r>
              <w:rPr>
                <w:color w:val="262626"/>
              </w:rPr>
              <w:t xml:space="preserve">C</w:t>
            </w:r>
            <w:r>
              <w:rPr>
                <w:color w:val="262626"/>
              </w:rPr>
              <w:t xml:space="preserve">месь</w:t>
            </w:r>
            <w:r>
              <w:rPr>
                <w:color w:val="262626"/>
              </w:rPr>
              <w:t xml:space="preserve"> композиционного вяжущего, фракционированного кварцевого песка, легкого заполнителя и модифицирующие добавки водорастворимых полимеров.</w:t>
            </w:r>
            <w:r>
              <w:rPr>
                <w:color w:val="262626"/>
              </w:rPr>
            </w:r>
          </w:p>
        </w:tc>
      </w:tr>
    </w:tbl>
    <w:p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>
        <w:rPr>
          <w:rFonts w:ascii="Times New Roman" w:hAnsi="Times New Roman" w:cs="Times New Roman"/>
          <w:b/>
          <w:sz w:val="32"/>
          <w:szCs w:val="32"/>
        </w:rPr>
      </w:r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42" w:right="851" w:bottom="567" w:left="851" w:header="137" w:footer="124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SimSun">
    <w:panose1 w:val="02020603020101020101"/>
  </w:font>
  <w:font w:name="Arial">
    <w:panose1 w:val="020B0604020202020204"/>
  </w:font>
  <w:font w:name="Calibri">
    <w:panose1 w:val="020F0502020204030204"/>
  </w:font>
  <w:font w:name="Wingdings">
    <w:panose1 w:val="05010000000000000000"/>
  </w:font>
  <w:font w:name="Liberation Sans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8"/>
      <w:tabs>
        <w:tab w:val="left" w:pos="1740" w:leader="none"/>
        <w:tab w:val="right" w:pos="10205" w:leader="none"/>
      </w:tabs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785"/>
      <w:tblW w:w="5000" w:type="pct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2650"/>
      <w:gridCol w:w="905"/>
      <w:gridCol w:w="3204"/>
      <w:gridCol w:w="1012"/>
      <w:gridCol w:w="2649"/>
    </w:tblGrid>
    <w:tr>
      <w:tblPrEx/>
      <w:trPr>
        <w:trHeight w:val="717"/>
      </w:trPr>
      <w:tc>
        <w:tcPr>
          <w:tcW w:w="1274" w:type="pct"/>
          <w:vAlign w:val="center"/>
          <w:textDirection w:val="lrTb"/>
          <w:noWrap w:val="false"/>
        </w:tcPr>
        <w:p>
          <w:pPr>
            <w:spacing w:after="0"/>
            <w:rPr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color w:val="000000"/>
              <w:sz w:val="16"/>
              <w:szCs w:val="16"/>
            </w:rPr>
            <w:t xml:space="preserve">ИНН/КПП 7203388776/720301001</w:t>
          </w:r>
          <w:r>
            <w:rPr>
              <w:color w:val="000000"/>
              <w:sz w:val="16"/>
              <w:szCs w:val="16"/>
            </w:rPr>
          </w:r>
        </w:p>
        <w:p>
          <w:pPr>
            <w:spacing w:after="0"/>
            <w:rPr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color w:val="000000"/>
              <w:sz w:val="16"/>
              <w:szCs w:val="16"/>
            </w:rPr>
            <w:t xml:space="preserve">625031 Тюменская обл., г. Тюмень</w:t>
          </w:r>
          <w:r>
            <w:rPr>
              <w:color w:val="000000"/>
              <w:sz w:val="16"/>
              <w:szCs w:val="16"/>
            </w:rPr>
          </w:r>
        </w:p>
        <w:p>
          <w:pPr>
            <w:spacing w:after="0"/>
            <w:rPr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color w:val="000000"/>
              <w:sz w:val="16"/>
              <w:szCs w:val="16"/>
            </w:rPr>
            <w:t xml:space="preserve">ул. Тимофея </w:t>
          </w:r>
          <w:r>
            <w:rPr>
              <w:color w:val="000000"/>
              <w:sz w:val="16"/>
              <w:szCs w:val="16"/>
            </w:rPr>
            <w:t xml:space="preserve">Чаркова</w:t>
          </w:r>
          <w:r>
            <w:rPr>
              <w:color w:val="000000"/>
              <w:sz w:val="16"/>
              <w:szCs w:val="16"/>
            </w:rPr>
            <w:t xml:space="preserve">, 8Б/1</w:t>
          </w:r>
          <w:r>
            <w:rPr>
              <w:color w:val="000000"/>
              <w:sz w:val="16"/>
              <w:szCs w:val="16"/>
            </w:rPr>
          </w:r>
        </w:p>
      </w:tc>
      <w:tc>
        <w:tcPr>
          <w:tcW w:w="434" w:type="pct"/>
          <w:vAlign w:val="center"/>
          <w:textDirection w:val="lrTb"/>
          <w:noWrap w:val="false"/>
        </w:tcPr>
        <w:p>
          <w:pPr>
            <w:spacing w:after="0"/>
            <w:rPr>
              <w:color w:val="000000"/>
              <w:sz w:val="16"/>
              <w:szCs w:val="16"/>
            </w:rPr>
          </w:pPr>
          <w:r>
            <w:rPr>
              <w:sz w:val="22"/>
              <w:szCs w:val="22"/>
            </w:rPr>
            <w:object w:dxaOrig="13500" w:dyaOrig="1578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.50pt;height:39.00pt;mso-wrap-distance-left:0.00pt;mso-wrap-distance-top:0.00pt;mso-wrap-distance-right:0.00pt;mso-wrap-distance-bottom:0.00pt;" filled="f" stroked="f">
                <v:path textboxrect="0,0,0,0"/>
                <v:imagedata r:id="rId1" o:title=""/>
              </v:shape>
              <o:OLEObject DrawAspect="Content" r:id="rId2" ObjectID="_1525040" ProgID="PBrush" ShapeID="_x0000_i0" Type="Embed"/>
            </w:object>
          </w:r>
          <w:r>
            <w:rPr>
              <w:color w:val="000000"/>
              <w:sz w:val="16"/>
              <w:szCs w:val="16"/>
            </w:rPr>
          </w:r>
        </w:p>
      </w:tc>
      <w:tc>
        <w:tcPr>
          <w:tcW w:w="1540" w:type="pct"/>
          <w:vAlign w:val="center"/>
          <w:textDirection w:val="lrTb"/>
          <w:noWrap w:val="false"/>
        </w:tcPr>
        <w:p>
          <w:pPr>
            <w:pStyle w:val="779"/>
            <w:jc w:val="center"/>
            <w:spacing w:before="0" w:after="0"/>
            <w:rPr>
              <w:rFonts w:ascii="Times New Roman" w:hAnsi="Times New Roman" w:eastAsia="Times New Roman" w:cs="Times New Roman"/>
              <w:sz w:val="20"/>
              <w:szCs w:val="20"/>
            </w:rPr>
            <w:outlineLvl w:val="0"/>
          </w:pPr>
          <w:r>
            <w:rPr>
              <w:rFonts w:ascii="Times New Roman" w:hAnsi="Times New Roman" w:eastAsia="Times New Roman" w:cs="Times New Roman"/>
              <w:sz w:val="20"/>
              <w:szCs w:val="20"/>
            </w:rPr>
            <w:t xml:space="preserve">ООО «МЕЛАНЖ»</w:t>
          </w:r>
          <w:r>
            <w:rPr>
              <w:rFonts w:ascii="Times New Roman" w:hAnsi="Times New Roman" w:eastAsia="Times New Roman" w:cs="Times New Roman"/>
              <w:sz w:val="20"/>
              <w:szCs w:val="20"/>
            </w:rPr>
          </w:r>
        </w:p>
        <w:p>
          <w:pPr>
            <w:pStyle w:val="779"/>
            <w:jc w:val="center"/>
            <w:spacing w:before="0" w:after="0"/>
            <w:rPr>
              <w:rFonts w:ascii="Times New Roman" w:hAnsi="Times New Roman" w:eastAsia="Times New Roman" w:cs="Times New Roman"/>
              <w:sz w:val="16"/>
              <w:szCs w:val="16"/>
            </w:rPr>
            <w:outlineLvl w:val="0"/>
          </w:pPr>
          <w:r>
            <w:rPr>
              <w:rFonts w:ascii="Times New Roman" w:hAnsi="Times New Roman" w:cs="Times New Roman"/>
              <w:sz w:val="20"/>
              <w:szCs w:val="20"/>
            </w:rPr>
            <w:t xml:space="preserve">Наши сухие строительные смеси – это просто добавь воды</w:t>
          </w:r>
          <w:r>
            <w:rPr>
              <w:rFonts w:ascii="Times New Roman" w:hAnsi="Times New Roman" w:eastAsia="Times New Roman" w:cs="Times New Roman"/>
              <w:sz w:val="16"/>
              <w:szCs w:val="16"/>
            </w:rPr>
          </w:r>
        </w:p>
      </w:tc>
      <w:tc>
        <w:tcPr>
          <w:tcW w:w="478" w:type="pct"/>
          <w:vAlign w:val="center"/>
          <w:textDirection w:val="lrTb"/>
          <w:noWrap w:val="false"/>
        </w:tcPr>
        <w:p>
          <w:pPr>
            <w:jc w:val="center"/>
            <w:spacing w:after="0"/>
            <w:rPr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sz w:val="22"/>
              <w:szCs w:val="22"/>
            </w:rPr>
            <w:object w:dxaOrig="3900" w:dyaOrig="3900"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9.75pt;height:39.75pt;mso-wrap-distance-left:0.00pt;mso-wrap-distance-top:0.00pt;mso-wrap-distance-right:0.00pt;mso-wrap-distance-bottom:0.00pt;" filled="f" stroked="f">
                <v:path textboxrect="0,0,0,0"/>
                <v:imagedata r:id="rId3" o:title=""/>
              </v:shape>
              <o:OLEObject DrawAspect="Content" r:id="rId4" ObjectID="_1525041" ProgID="PBrush" ShapeID="_x0000_i1" Type="Embed"/>
            </w:object>
          </w:r>
          <w:r>
            <w:rPr>
              <w:color w:val="000000"/>
              <w:sz w:val="16"/>
              <w:szCs w:val="16"/>
            </w:rPr>
          </w:r>
        </w:p>
      </w:tc>
      <w:tc>
        <w:tcPr>
          <w:tcW w:w="1273" w:type="pct"/>
          <w:vAlign w:val="center"/>
          <w:textDirection w:val="lrTb"/>
          <w:noWrap w:val="false"/>
        </w:tcPr>
        <w:p>
          <w:pPr>
            <w:jc w:val="right"/>
            <w:spacing w:after="0"/>
            <w:rPr>
              <w:color w:val="000000"/>
              <w:sz w:val="16"/>
              <w:szCs w:val="16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color w:val="000000"/>
              <w:sz w:val="16"/>
              <w:szCs w:val="16"/>
            </w:rPr>
            <w:t xml:space="preserve">Тел./Факс: 8 (3452) 28-54-48, </w:t>
          </w:r>
          <w:r>
            <w:rPr>
              <w:color w:val="000000"/>
              <w:sz w:val="16"/>
              <w:szCs w:val="16"/>
            </w:rPr>
            <w:br/>
            <w:t xml:space="preserve">сайт: </w:t>
          </w:r>
          <w:hyperlink r:id="rId5" w:tooltip="https://melang72.ru" w:history="1">
            <w:r>
              <w:rPr>
                <w:color w:val="0000ff"/>
                <w:sz w:val="16"/>
                <w:szCs w:val="16"/>
              </w:rPr>
              <w:t xml:space="preserve">https://melang72.ru</w:t>
            </w:r>
          </w:hyperlink>
          <w:r/>
          <w:r>
            <w:rPr>
              <w:color w:val="000000"/>
              <w:sz w:val="16"/>
              <w:szCs w:val="16"/>
            </w:rPr>
          </w:r>
        </w:p>
        <w:p>
          <w:pPr>
            <w:pStyle w:val="779"/>
            <w:jc w:val="right"/>
            <w:spacing w:before="0" w:after="0"/>
            <w:rPr>
              <w:rFonts w:ascii="Times New Roman" w:hAnsi="Times New Roman" w:eastAsia="Times New Roman" w:cs="Times New Roman"/>
              <w:sz w:val="16"/>
              <w:szCs w:val="16"/>
              <w:lang w:val="en-US"/>
            </w:rPr>
            <w:outlineLvl w:val="0"/>
          </w:pP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e-mail</w:t>
          </w:r>
          <w:r>
            <w:rPr>
              <w:rFonts w:ascii="Times New Roman" w:hAnsi="Times New Roman" w:cs="Times New Roman"/>
              <w:b w:val="0"/>
              <w:color w:val="000000"/>
              <w:sz w:val="16"/>
              <w:szCs w:val="16"/>
              <w:lang w:val="en-US"/>
            </w:rPr>
            <w:t xml:space="preserve">: </w:t>
          </w:r>
          <w:hyperlink r:id="rId6" w:tooltip="mailto:melange72@yandex.ru" w:history="1">
            <w:r>
              <w:rPr>
                <w:rFonts w:ascii="Times New Roman" w:hAnsi="Times New Roman" w:cs="Times New Roman"/>
                <w:b w:val="0"/>
                <w:color w:val="0000ff"/>
                <w:sz w:val="16"/>
                <w:szCs w:val="16"/>
                <w:lang w:val="en-US"/>
              </w:rPr>
              <w:t xml:space="preserve">melange72@yandex.ru</w:t>
            </w:r>
          </w:hyperlink>
          <w:r/>
          <w:r>
            <w:rPr>
              <w:rFonts w:ascii="Times New Roman" w:hAnsi="Times New Roman" w:eastAsia="Times New Roman" w:cs="Times New Roman"/>
              <w:sz w:val="16"/>
              <w:szCs w:val="16"/>
              <w:lang w:val="en-US"/>
            </w:rPr>
          </w:r>
        </w:p>
      </w:tc>
    </w:tr>
  </w:tbl>
  <w:p>
    <w:pPr>
      <w:pStyle w:val="786"/>
      <w:rPr>
        <w:lang w:val="en-US"/>
      </w:rPr>
    </w:pPr>
    <w:r>
      <w:rPr>
        <w:lang w:val="en-US"/>
      </w:rPr>
    </w:r>
    <w:r>
      <w:rPr>
        <w:lang w:val="en-US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">
    <w:name w:val="Heading 1 Char"/>
    <w:basedOn w:val="780"/>
    <w:link w:val="779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778"/>
    <w:next w:val="778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780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778"/>
    <w:next w:val="778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780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778"/>
    <w:next w:val="778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780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778"/>
    <w:next w:val="778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780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778"/>
    <w:next w:val="778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780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778"/>
    <w:next w:val="778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780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778"/>
    <w:next w:val="778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780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778"/>
    <w:next w:val="778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780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778"/>
    <w:next w:val="778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780"/>
    <w:link w:val="35"/>
    <w:uiPriority w:val="10"/>
    <w:rPr>
      <w:sz w:val="48"/>
      <w:szCs w:val="48"/>
    </w:rPr>
  </w:style>
  <w:style w:type="paragraph" w:styleId="37">
    <w:name w:val="Subtitle"/>
    <w:basedOn w:val="778"/>
    <w:next w:val="778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780"/>
    <w:link w:val="37"/>
    <w:uiPriority w:val="11"/>
    <w:rPr>
      <w:sz w:val="24"/>
      <w:szCs w:val="24"/>
    </w:rPr>
  </w:style>
  <w:style w:type="paragraph" w:styleId="39">
    <w:name w:val="Quote"/>
    <w:basedOn w:val="778"/>
    <w:next w:val="778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778"/>
    <w:next w:val="778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character" w:styleId="44">
    <w:name w:val="Header Char"/>
    <w:basedOn w:val="780"/>
    <w:link w:val="786"/>
    <w:uiPriority w:val="99"/>
  </w:style>
  <w:style w:type="character" w:styleId="46">
    <w:name w:val="Footer Char"/>
    <w:basedOn w:val="780"/>
    <w:link w:val="788"/>
    <w:uiPriority w:val="99"/>
  </w:style>
  <w:style w:type="paragraph" w:styleId="47">
    <w:name w:val="Caption"/>
    <w:basedOn w:val="778"/>
    <w:next w:val="778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780"/>
    <w:link w:val="47"/>
    <w:uiPriority w:val="35"/>
    <w:rPr>
      <w:b/>
      <w:bCs/>
      <w:color w:val="4f81bd" w:themeColor="accent1"/>
      <w:sz w:val="18"/>
      <w:szCs w:val="18"/>
    </w:rPr>
  </w:style>
  <w:style w:type="table" w:styleId="50">
    <w:name w:val="Table Grid Light"/>
    <w:basedOn w:val="78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78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78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7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7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7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7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7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7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78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78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78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778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780"/>
    <w:uiPriority w:val="99"/>
    <w:unhideWhenUsed/>
    <w:rPr>
      <w:vertAlign w:val="superscript"/>
    </w:rPr>
  </w:style>
  <w:style w:type="paragraph" w:styleId="179">
    <w:name w:val="endnote text"/>
    <w:basedOn w:val="778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780"/>
    <w:uiPriority w:val="99"/>
    <w:semiHidden/>
    <w:unhideWhenUsed/>
    <w:rPr>
      <w:vertAlign w:val="superscript"/>
    </w:rPr>
  </w:style>
  <w:style w:type="paragraph" w:styleId="182">
    <w:name w:val="toc 1"/>
    <w:basedOn w:val="778"/>
    <w:next w:val="778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778"/>
    <w:next w:val="778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778"/>
    <w:next w:val="778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778"/>
    <w:next w:val="778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778"/>
    <w:next w:val="778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778"/>
    <w:next w:val="778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778"/>
    <w:next w:val="778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778"/>
    <w:next w:val="778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778"/>
    <w:next w:val="778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778"/>
    <w:next w:val="778"/>
    <w:uiPriority w:val="99"/>
    <w:unhideWhenUsed/>
    <w:pPr>
      <w:spacing w:after="0" w:afterAutospacing="0"/>
    </w:pPr>
  </w:style>
  <w:style w:type="paragraph" w:styleId="778" w:default="1">
    <w:name w:val="Normal"/>
    <w:qFormat/>
    <w:pPr>
      <w:spacing w:after="160" w:line="256" w:lineRule="auto"/>
    </w:pPr>
    <w:rPr>
      <w:rFonts w:ascii="Calibri" w:hAnsi="Calibri" w:eastAsia="Calibri" w:cs="Calibri"/>
      <w:lang w:eastAsia="ru-RU"/>
    </w:rPr>
  </w:style>
  <w:style w:type="paragraph" w:styleId="779">
    <w:name w:val="Heading 1"/>
    <w:basedOn w:val="778"/>
    <w:next w:val="778"/>
    <w:link w:val="783"/>
    <w:qFormat/>
    <w:pPr>
      <w:keepNext/>
      <w:spacing w:before="240" w:after="60" w:line="240" w:lineRule="auto"/>
      <w:outlineLvl w:val="0"/>
    </w:pPr>
    <w:rPr>
      <w:rFonts w:ascii="Arial" w:hAnsi="Arial" w:eastAsia="SimSun" w:cs="Arial"/>
      <w:b/>
      <w:bCs/>
      <w:sz w:val="32"/>
      <w:szCs w:val="32"/>
      <w:lang w:eastAsia="zh-CN"/>
    </w:rPr>
  </w:style>
  <w:style w:type="character" w:styleId="780" w:default="1">
    <w:name w:val="Default Paragraph Font"/>
    <w:uiPriority w:val="1"/>
    <w:semiHidden/>
    <w:unhideWhenUsed/>
  </w:style>
  <w:style w:type="table" w:styleId="78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82" w:default="1">
    <w:name w:val="No List"/>
    <w:uiPriority w:val="99"/>
    <w:semiHidden/>
    <w:unhideWhenUsed/>
  </w:style>
  <w:style w:type="character" w:styleId="783" w:customStyle="1">
    <w:name w:val="Заголовок 1 Знак"/>
    <w:basedOn w:val="780"/>
    <w:link w:val="779"/>
    <w:rPr>
      <w:rFonts w:ascii="Arial" w:hAnsi="Arial" w:eastAsia="SimSun" w:cs="Arial"/>
      <w:b/>
      <w:bCs/>
      <w:sz w:val="32"/>
      <w:szCs w:val="32"/>
      <w:lang w:eastAsia="zh-CN"/>
    </w:rPr>
  </w:style>
  <w:style w:type="paragraph" w:styleId="784">
    <w:name w:val="List Paragraph"/>
    <w:basedOn w:val="778"/>
    <w:uiPriority w:val="99"/>
    <w:qFormat/>
    <w:pPr>
      <w:contextualSpacing/>
      <w:ind w:left="720"/>
    </w:pPr>
  </w:style>
  <w:style w:type="table" w:styleId="785">
    <w:name w:val="Table Grid"/>
    <w:basedOn w:val="781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86">
    <w:name w:val="Header"/>
    <w:basedOn w:val="778"/>
    <w:link w:val="78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87" w:customStyle="1">
    <w:name w:val="Верхний колонтитул Знак"/>
    <w:basedOn w:val="780"/>
    <w:link w:val="786"/>
    <w:uiPriority w:val="99"/>
    <w:rPr>
      <w:rFonts w:ascii="Calibri" w:hAnsi="Calibri" w:eastAsia="Calibri" w:cs="Calibri"/>
      <w:lang w:eastAsia="ru-RU"/>
    </w:rPr>
  </w:style>
  <w:style w:type="paragraph" w:styleId="788">
    <w:name w:val="Footer"/>
    <w:basedOn w:val="778"/>
    <w:link w:val="78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89" w:customStyle="1">
    <w:name w:val="Нижний колонтитул Знак"/>
    <w:basedOn w:val="780"/>
    <w:link w:val="788"/>
    <w:uiPriority w:val="99"/>
    <w:rPr>
      <w:rFonts w:ascii="Calibri" w:hAnsi="Calibri" w:eastAsia="Calibri" w:cs="Calibri"/>
      <w:lang w:eastAsia="ru-RU"/>
    </w:rPr>
  </w:style>
  <w:style w:type="paragraph" w:styleId="790">
    <w:name w:val="Balloon Text"/>
    <w:basedOn w:val="778"/>
    <w:link w:val="79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91" w:customStyle="1">
    <w:name w:val="Текст выноски Знак"/>
    <w:basedOn w:val="780"/>
    <w:link w:val="790"/>
    <w:uiPriority w:val="99"/>
    <w:semiHidden/>
    <w:rPr>
      <w:rFonts w:ascii="Tahoma" w:hAnsi="Tahoma" w:eastAsia="Calibri" w:cs="Tahoma"/>
      <w:sz w:val="16"/>
      <w:szCs w:val="16"/>
      <w:lang w:eastAsia="ru-RU"/>
    </w:rPr>
  </w:style>
  <w:style w:type="paragraph" w:styleId="792">
    <w:name w:val="Normal (Web)"/>
    <w:basedOn w:val="778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oleObject" Target="embeddings/oleObject3.bin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Relationship Id="rId4" Type="http://schemas.openxmlformats.org/officeDocument/2006/relationships/oleObject" Target="embeddings/oleObject2.bin"/><Relationship Id="rId5" Type="http://schemas.openxmlformats.org/officeDocument/2006/relationships/hyperlink" Target="https://melang72.ru" TargetMode="External"/><Relationship Id="rId6" Type="http://schemas.openxmlformats.org/officeDocument/2006/relationships/hyperlink" Target="mailto:melange72@yandex.ru" TargetMode="External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r7-office/2025.3.2.1000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Егор Шелудков</cp:lastModifiedBy>
  <cp:revision>12</cp:revision>
  <dcterms:created xsi:type="dcterms:W3CDTF">2024-01-23T10:53:00Z</dcterms:created>
  <dcterms:modified xsi:type="dcterms:W3CDTF">2026-05-22T11:06:41Z</dcterms:modified>
</cp:coreProperties>
</file>