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Кладочная смесь для кирпича и блоков М-100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ПАСПОРТ  КАЧЕСТВА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3366"/>
        <w:gridCol w:w="627"/>
        <w:gridCol w:w="4516"/>
        <w:gridCol w:w="1911"/>
      </w:tblGrid>
      <w:tr>
        <w:tblPrEx/>
        <w:trPr/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сухая строительная кладочная цементная производится в соответствии с ГОСТ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58272-2018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289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мешок 25 кг.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Наименование показателей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Фактические результаты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580"/>
        </w:trPr>
        <w:tc>
          <w:tcP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9540" w:dyaOrig="141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width:127.50pt;height:189.00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2" ProgID="PBrush" ShapeID="_x0000_i2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33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Влажность по массе,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44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Наибольшая крупность зёрен заполнителя (остаток на сите),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66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зерен наибольшей крупности,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Подвижность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расплыву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МКР 1 тонна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Сохраняемость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5"/>
        </w:trPr>
        <w:tc>
          <w:tcP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850" w:dyaOrig="46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57.50pt;height:222.00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3" ProgID="PBrush" ShapeID="_x0000_i3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корректировки,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0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сжатие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возрасте 28 суток,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06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при сдвиге в возрасте 28 суток,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9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Морозостойкость, циклов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99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применения,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,+5 до +30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Удельная эффективная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радионуклидов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Аэфф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370 Бк/кг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хранения 12 месяцев с даты изготовления, в сухом помещении и плотно закрытой заводской упаковке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/>
      <w:bookmarkStart w:id="0" w:name="_GoBack"/>
      <w:r/>
      <w:bookmarkEnd w:id="0"/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СВИДЕТЕЛЬСТВО О ГОСУДАРСТВЕННОЙ РЕГИСТРАЦИИ ПРОДУКЦИИ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49950" cy="8618220"/>
                      <wp:effectExtent l="0" t="0" r="0" b="0"/>
                      <wp:docPr id="5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9950" cy="8618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68.50pt;height:678.6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ДЕКЛАРАЦИЯ О СООТВЕТСТВИИ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140"/>
      </w:tblGrid>
      <w:tr>
        <w:tblPrEx/>
        <w:trPr>
          <w:trHeight w:val="14185"/>
        </w:trPr>
        <w:tc>
          <w:tcPr>
            <w:tcW w:w="101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52515" cy="7093585"/>
                      <wp:effectExtent l="0" t="0" r="635" b="0"/>
                      <wp:docPr id="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52515" cy="7093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84.45pt;height:558.55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МЕШКОТАРА 25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кг.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63"/>
        </w:trPr>
        <w:tc>
          <w:tcPr>
            <w:tcW w:w="10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9540" w:dyaOrig="141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width:456.00pt;height:676.50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6" ProgID="PBrush" ShapeID="_x0000_i6" Type="Embed"/>
              </w:objec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77"/>
        </w:trPr>
        <w:tc>
          <w:tcPr>
            <w:tcW w:w="10420" w:type="dxa"/>
            <w:textDirection w:val="lrTb"/>
            <w:noWrap w:val="false"/>
          </w:tcPr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Кладочная смесь для кирпича и блоков М-100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54"/>
              <w:jc w:val="both"/>
              <w:spacing w:before="0" w:beforeAutospacing="0" w:after="0" w:afterAutospacing="0"/>
              <w:shd w:val="clear" w:color="auto" w:fill="ffffff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Кладочная смесь универсальная водостойкая всесезонная для кирпича, </w:t>
            </w:r>
            <w:r>
              <w:rPr>
                <w:shd w:val="clear" w:color="auto" w:fill="ffffff"/>
              </w:rPr>
              <w:t xml:space="preserve">керамзитоблока</w:t>
            </w:r>
            <w:r>
              <w:rPr>
                <w:shd w:val="clear" w:color="auto" w:fill="ffffff"/>
              </w:rPr>
              <w:t xml:space="preserve"> и </w:t>
            </w:r>
            <w:r>
              <w:rPr>
                <w:shd w:val="clear" w:color="auto" w:fill="ffffff"/>
              </w:rPr>
              <w:t xml:space="preserve">пеноблока</w:t>
            </w:r>
            <w:r>
              <w:rPr>
                <w:shd w:val="clear" w:color="auto" w:fill="ffffff"/>
              </w:rPr>
              <w:t xml:space="preserve"> применяется при наружных и внутренних работах. Не образует </w:t>
            </w:r>
            <w:r>
              <w:rPr>
                <w:shd w:val="clear" w:color="auto" w:fill="ffffff"/>
              </w:rPr>
              <w:t xml:space="preserve">высолов</w:t>
            </w:r>
            <w:r>
              <w:rPr>
                <w:shd w:val="clear" w:color="auto" w:fill="ffffff"/>
              </w:rPr>
              <w:t xml:space="preserve"> на кладке.</w:t>
            </w:r>
            <w:r>
              <w:rPr>
                <w:shd w:val="clear" w:color="auto" w:fill="ffffff"/>
              </w:rPr>
            </w:r>
          </w:p>
          <w:p>
            <w:pPr>
              <w:pStyle w:val="854"/>
              <w:jc w:val="both"/>
              <w:spacing w:before="0" w:beforeAutospacing="0" w:after="0" w:afterAutospacing="0"/>
              <w:shd w:val="clear" w:color="auto" w:fill="ffffff"/>
            </w:pPr>
            <w:r/>
            <w:r/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основы: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2"/>
              </w:numPr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Укладку клеевого раствора производят на основание, очищенное от снега, наледи, мусора и сильных загрязнений.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2"/>
              </w:numPr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подготовки основания запрещается использовать горячую воду или продув горячим воздухом.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 xml:space="preserve">Условия проведения работ: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Температура воздуха при проведении работ – от +5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°С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до +35°С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Температура поверхности – не менее +5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°С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spacing w:before="100" w:beforeAutospacing="1" w:after="20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Относительная влажность воздуха – не более 60%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854"/>
              <w:jc w:val="both"/>
              <w:spacing w:before="0" w:beforeAutospacing="0" w:after="0" w:afterAutospacing="0" w:line="276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Приготовление растворной смеси:</w:t>
            </w:r>
            <w:r>
              <w:rPr>
                <w:b/>
                <w:color w:val="222222"/>
              </w:rPr>
            </w:r>
          </w:p>
          <w:p>
            <w:pPr>
              <w:pStyle w:val="846"/>
              <w:numPr>
                <w:ilvl w:val="0"/>
                <w:numId w:val="1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приготовления используйте чистые емкости и инструменты.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Грязный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инструмент сократит жизнь готового раствора.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Сухую смесь предварительно перемешать (разрыхляют, если смесь слежалась).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 ёмкость для приготовления раствора залить 0,16-0,2 л чистой воды на 1 кг смеси. Количество воды подбирается опытным путем до требуемой консистенции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3"/>
              </w:numPr>
              <w:jc w:val="both"/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Сухую смесь постепенно добавляют в воду при перемешивании, добиваясь получения однородной консистенции, не содержащей комков;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r>
          </w:p>
          <w:p>
            <w:pPr>
              <w:numPr>
                <w:ilvl w:val="0"/>
                <w:numId w:val="13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Перемешивание осуществлять с помощью миксера или дрели с насадкой для вязких веществ.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Приготовленный раствор выдержать в течение 5-10 минут и снова интенсивно перемешать.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Загущать готовый раствор сухой смесью запрещается.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13"/>
              </w:numPr>
              <w:jc w:val="both"/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Запрещено добавлять в состав прочие смеси и составы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both"/>
              <w:spacing w:before="100" w:beforeAutospacing="1" w:after="0" w:line="240" w:lineRule="auto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854"/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Порядок работы:</w:t>
            </w:r>
            <w:r>
              <w:rPr>
                <w:b/>
                <w:color w:val="222222"/>
              </w:rPr>
            </w:r>
          </w:p>
          <w:p>
            <w:pPr>
              <w:pStyle w:val="854"/>
              <w:numPr>
                <w:ilvl w:val="0"/>
                <w:numId w:val="14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Работы необходимо проводить в резиновых перчатках. Для защиты дыхательных путей применять респиратор или марлевую повязку. При попадании в глаза немедленно промыть большим количеством воды.</w:t>
            </w:r>
            <w:r>
              <w:rPr>
                <w:b/>
              </w:rPr>
            </w:r>
          </w:p>
          <w:p>
            <w:pPr>
              <w:pStyle w:val="854"/>
              <w:numPr>
                <w:ilvl w:val="0"/>
                <w:numId w:val="14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Укладка первого ряда блоков начинается с самого высокого угла фундамента. </w:t>
            </w:r>
            <w:r>
              <w:rPr>
                <w:b/>
              </w:rPr>
            </w:r>
          </w:p>
          <w:p>
            <w:pPr>
              <w:pStyle w:val="854"/>
              <w:numPr>
                <w:ilvl w:val="0"/>
                <w:numId w:val="14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Блоки по одному укладываются на углах фундамента, тщательно выравниваются с помощью строительного уровня.</w:t>
            </w:r>
            <w:r>
              <w:rPr>
                <w:b/>
              </w:rPr>
            </w:r>
          </w:p>
          <w:p>
            <w:pPr>
              <w:pStyle w:val="854"/>
              <w:numPr>
                <w:ilvl w:val="0"/>
                <w:numId w:val="14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После укладывания и выравнивания угловых блоков между ними натягиваются строительные шнуры, после чего выкладываются остальные блоки.</w:t>
            </w:r>
            <w:r>
              <w:rPr>
                <w:b/>
              </w:rPr>
            </w:r>
          </w:p>
          <w:p>
            <w:pPr>
              <w:pStyle w:val="854"/>
              <w:numPr>
                <w:ilvl w:val="0"/>
                <w:numId w:val="14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Кирпичная кладка выполняется по аналогии, с условием соблюдения правил и стандартов строительства и типа кладки</w:t>
            </w:r>
            <w:r>
              <w:rPr>
                <w:b/>
              </w:rPr>
            </w:r>
          </w:p>
          <w:p>
            <w:pPr>
              <w:ind w:left="36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4"/>
              <w:jc w:val="both"/>
              <w:spacing w:before="0" w:beforeAutospacing="0" w:after="225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Условия транспортирования и хранения:</w:t>
            </w:r>
            <w:r>
              <w:rPr>
                <w:b/>
                <w:color w:val="222222"/>
              </w:rPr>
            </w:r>
          </w:p>
          <w:p>
            <w:pPr>
              <w:pStyle w:val="854"/>
              <w:numPr>
                <w:ilvl w:val="0"/>
                <w:numId w:val="15"/>
              </w:numPr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 xml:space="preserve">Смесь транспортировать в соответствии с правилами перевозки груз</w:t>
            </w:r>
            <w:r>
              <w:rPr>
                <w:color w:val="222222"/>
              </w:rPr>
              <w:t xml:space="preserve">ов. Мешки с сухой смесью хранить в крытых сухих помещениях в условиях, обеспечивающих сохранность упаковки и предохранение от увлажнения. Срок хранения в таре изготовителя – 6 месяцев со дня изготовления при соблюдении условий транспортирования и хранения.</w:t>
            </w:r>
            <w:r>
              <w:rPr>
                <w:color w:val="222222"/>
              </w:rPr>
            </w:r>
          </w:p>
          <w:p>
            <w:pPr>
              <w:pStyle w:val="854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tbl>
            <w:tblPr>
              <w:tblStyle w:val="847"/>
              <w:tblpPr w:horzAnchor="text" w:tblpXSpec="left" w:vertAnchor="text" w:tblpY="1" w:leftFromText="180" w:topFromText="0" w:rightFromText="180" w:bottomFromText="0"/>
              <w:tblW w:w="0" w:type="auto"/>
              <w:tblLook w:val="04A0" w:firstRow="1" w:lastRow="0" w:firstColumn="1" w:lastColumn="0" w:noHBand="0" w:noVBand="1"/>
            </w:tblPr>
            <w:tblGrid>
              <w:gridCol w:w="5173"/>
              <w:gridCol w:w="1336"/>
            </w:tblGrid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Наибольшая крупность зерен заполнителя, </w:t>
                  </w:r>
                  <w:r>
                    <w:rPr>
                      <w:color w:val="222222"/>
                      <w:lang w:eastAsia="en-US"/>
                    </w:rPr>
                    <w:t xml:space="preserve">мм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1,5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Марка прочности на сжатие МПа,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10 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Адгезия к основанию МПа,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0,3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Расход воды на 1 кг сухой смеси, литров:</w:t>
                  </w:r>
                  <w:r>
                    <w:rPr>
                      <w:lang w:eastAsia="en-US"/>
                    </w:rPr>
                    <w:tab/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0,16-0,2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Расход воды на 25 кг сухой смеси, литров:</w:t>
                  </w:r>
                  <w:r>
                    <w:rPr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4-5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Жизнеспособность раствора мин.,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60 мин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Подвижность раствора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Пк-3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</w:tbl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4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ab/>
            </w:r>
            <w:r>
              <w:rPr>
                <w:color w:val="222222"/>
              </w:rPr>
              <w:tab/>
            </w:r>
            <w:r>
              <w:rPr>
                <w:color w:val="222222"/>
              </w:rPr>
              <w:tab/>
            </w:r>
            <w:r>
              <w:rPr>
                <w:color w:val="222222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ГОСТ 58272-2018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42" w:right="851" w:bottom="567" w:left="851" w:header="137" w:footer="124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SimSun">
    <w:panose1 w:val="02020603020101020101"/>
  </w:font>
  <w:font w:name="Arial">
    <w:panose1 w:val="020B0604020202020204"/>
  </w:font>
  <w:font w:name="Calibri">
    <w:panose1 w:val="020F0502020204030204"/>
  </w:font>
  <w:font w:name="Wingdings">
    <w:panose1 w:val="05010000000000000000"/>
  </w:font>
  <w:font w:name="Liberation Sans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  <w:tabs>
        <w:tab w:val="left" w:pos="1740" w:leader="none"/>
        <w:tab w:val="right" w:pos="10205" w:leader="none"/>
      </w:tabs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847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645"/>
      <w:gridCol w:w="905"/>
      <w:gridCol w:w="3199"/>
      <w:gridCol w:w="1028"/>
      <w:gridCol w:w="2643"/>
    </w:tblGrid>
    <w:tr>
      <w:tblPrEx/>
      <w:trPr>
        <w:trHeight w:val="717"/>
      </w:trPr>
      <w:tc>
        <w:tcPr>
          <w:tcW w:w="127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ИНН/КПП 7203388776/720301001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625031 Тюменская обл., г. Тюмень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ул. Тимофея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Чаркова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, 8Б/1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43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13500" w:dyaOrig="1578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.50pt;height:39.00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PBrush" ShapeID="_x0000_i0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540" w:type="pct"/>
          <w:vAlign w:val="center"/>
          <w:textDirection w:val="lrTb"/>
          <w:noWrap w:val="false"/>
        </w:tcPr>
        <w:p>
          <w:pPr>
            <w:pStyle w:val="841"/>
            <w:jc w:val="center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outlineLvl w:val="0"/>
          </w:pP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t xml:space="preserve">Завод ООО «Меланж»</w:t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Наши сухие строительные смеси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– это просто добавь воды!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</w:tc>
      <w:tc>
        <w:tcPr>
          <w:tcW w:w="478" w:type="pct"/>
          <w:vAlign w:val="center"/>
          <w:textDirection w:val="lrTb"/>
          <w:noWrap w:val="false"/>
        </w:tcPr>
        <w:p>
          <w:pPr>
            <w:jc w:val="center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3900" w:dyaOrig="390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.50pt;height:40.50pt;mso-wrap-distance-left:0.00pt;mso-wrap-distance-top:0.00pt;mso-wrap-distance-right:0.00pt;mso-wrap-distance-bottom:0.00pt;" filled="f" stroked="f">
                <v:path textboxrect="0,0,0,0"/>
                <v:imagedata r:id="rId3" o:title=""/>
              </v:shape>
              <o:OLEObject DrawAspect="Content" r:id="rId4" ObjectID="_1525041" ProgID="PBrush" ShapeID="_x0000_i1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273" w:type="pct"/>
          <w:vAlign w:val="center"/>
          <w:textDirection w:val="lrTb"/>
          <w:noWrap w:val="false"/>
        </w:tcPr>
        <w:p>
          <w:pPr>
            <w:jc w:val="right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Тел./Факс: 8 (3452) 28-54-48,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br/>
            <w:t xml:space="preserve">сайт: </w:t>
          </w:r>
          <w:hyperlink r:id="rId5" w:tooltip="https://melang72.ru" w:history="1"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https://melang72.ru</w:t>
            </w:r>
          </w:hyperlink>
          <w:r/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pStyle w:val="841"/>
            <w:jc w:val="right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  <w:outlineLvl w:val="0"/>
          </w:pP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e-mail</w:t>
          </w: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: </w:t>
          </w:r>
          <w:hyperlink r:id="rId6" w:tooltip="mailto:melange72@yandex.ru" w:history="1">
            <w:r>
              <w:rPr>
                <w:rFonts w:ascii="Times New Roman" w:hAnsi="Times New Roman" w:cs="Times New Roman"/>
                <w:b w:val="0"/>
                <w:color w:val="0000ff"/>
                <w:sz w:val="16"/>
                <w:szCs w:val="16"/>
                <w:lang w:val="en-US"/>
              </w:rPr>
              <w:t xml:space="preserve">melange72@yandex.ru</w:t>
            </w:r>
          </w:hyperlink>
          <w:r/>
          <w:r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</w:r>
        </w:p>
      </w:tc>
    </w:tr>
  </w:tbl>
  <w:p>
    <w:pPr>
      <w:pStyle w:val="848"/>
      <w:rPr>
        <w:lang w:val="en-US"/>
      </w:rPr>
    </w:pPr>
    <w:r>
      <w:rPr>
        <w:lang w:val="en-US"/>
      </w:rPr>
    </w:r>
    <w:r>
      <w:rPr>
        <w:lang w:val="en-US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0"/>
  </w:num>
  <w:num w:numId="11">
    <w:abstractNumId w:val="1"/>
  </w:num>
  <w:num w:numId="12">
    <w:abstractNumId w:val="5"/>
  </w:num>
  <w:num w:numId="13">
    <w:abstractNumId w:val="4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842"/>
    <w:link w:val="841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840"/>
    <w:next w:val="840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84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840"/>
    <w:next w:val="840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84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840"/>
    <w:next w:val="840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84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840"/>
    <w:next w:val="840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84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840"/>
    <w:next w:val="840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84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840"/>
    <w:next w:val="840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84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840"/>
    <w:next w:val="840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84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840"/>
    <w:next w:val="840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84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840"/>
    <w:next w:val="840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842"/>
    <w:link w:val="35"/>
    <w:uiPriority w:val="10"/>
    <w:rPr>
      <w:sz w:val="48"/>
      <w:szCs w:val="48"/>
    </w:rPr>
  </w:style>
  <w:style w:type="paragraph" w:styleId="37">
    <w:name w:val="Subtitle"/>
    <w:basedOn w:val="840"/>
    <w:next w:val="840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842"/>
    <w:link w:val="37"/>
    <w:uiPriority w:val="11"/>
    <w:rPr>
      <w:sz w:val="24"/>
      <w:szCs w:val="24"/>
    </w:rPr>
  </w:style>
  <w:style w:type="paragraph" w:styleId="39">
    <w:name w:val="Quote"/>
    <w:basedOn w:val="840"/>
    <w:next w:val="840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840"/>
    <w:next w:val="840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842"/>
    <w:link w:val="848"/>
    <w:uiPriority w:val="99"/>
  </w:style>
  <w:style w:type="character" w:styleId="46">
    <w:name w:val="Footer Char"/>
    <w:basedOn w:val="842"/>
    <w:link w:val="850"/>
    <w:uiPriority w:val="99"/>
  </w:style>
  <w:style w:type="paragraph" w:styleId="47">
    <w:name w:val="Caption"/>
    <w:basedOn w:val="840"/>
    <w:next w:val="840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842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840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842"/>
    <w:uiPriority w:val="99"/>
    <w:unhideWhenUsed/>
    <w:rPr>
      <w:vertAlign w:val="superscript"/>
    </w:rPr>
  </w:style>
  <w:style w:type="paragraph" w:styleId="179">
    <w:name w:val="endnote text"/>
    <w:basedOn w:val="840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842"/>
    <w:uiPriority w:val="99"/>
    <w:semiHidden/>
    <w:unhideWhenUsed/>
    <w:rPr>
      <w:vertAlign w:val="superscript"/>
    </w:rPr>
  </w:style>
  <w:style w:type="paragraph" w:styleId="182">
    <w:name w:val="toc 1"/>
    <w:basedOn w:val="840"/>
    <w:next w:val="840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840"/>
    <w:next w:val="840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840"/>
    <w:next w:val="840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840"/>
    <w:next w:val="840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840"/>
    <w:next w:val="840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840"/>
    <w:next w:val="840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840"/>
    <w:next w:val="840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840"/>
    <w:next w:val="840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840"/>
    <w:next w:val="840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840"/>
    <w:next w:val="840"/>
    <w:uiPriority w:val="99"/>
    <w:unhideWhenUsed/>
    <w:pPr>
      <w:spacing w:after="0" w:afterAutospacing="0"/>
    </w:pPr>
  </w:style>
  <w:style w:type="paragraph" w:styleId="840" w:default="1">
    <w:name w:val="Normal"/>
    <w:qFormat/>
    <w:pPr>
      <w:spacing w:after="160" w:line="256" w:lineRule="auto"/>
    </w:pPr>
    <w:rPr>
      <w:rFonts w:ascii="Calibri" w:hAnsi="Calibri" w:eastAsia="Calibri" w:cs="Calibri"/>
      <w:lang w:eastAsia="ru-RU"/>
    </w:rPr>
  </w:style>
  <w:style w:type="paragraph" w:styleId="841">
    <w:name w:val="Heading 1"/>
    <w:basedOn w:val="840"/>
    <w:next w:val="840"/>
    <w:link w:val="845"/>
    <w:qFormat/>
    <w:pPr>
      <w:keepNext/>
      <w:spacing w:before="240" w:after="60" w:line="240" w:lineRule="auto"/>
      <w:outlineLvl w:val="0"/>
    </w:pPr>
    <w:rPr>
      <w:rFonts w:ascii="Arial" w:hAnsi="Arial" w:eastAsia="SimSun" w:cs="Arial"/>
      <w:b/>
      <w:bCs/>
      <w:sz w:val="32"/>
      <w:szCs w:val="32"/>
      <w:lang w:eastAsia="zh-CN"/>
    </w:rPr>
  </w:style>
  <w:style w:type="character" w:styleId="842" w:default="1">
    <w:name w:val="Default Paragraph Font"/>
    <w:uiPriority w:val="1"/>
    <w:semiHidden/>
    <w:unhideWhenUsed/>
  </w:style>
  <w:style w:type="table" w:styleId="84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4" w:default="1">
    <w:name w:val="No List"/>
    <w:uiPriority w:val="99"/>
    <w:semiHidden/>
    <w:unhideWhenUsed/>
  </w:style>
  <w:style w:type="character" w:styleId="845" w:customStyle="1">
    <w:name w:val="Заголовок 1 Знак"/>
    <w:basedOn w:val="842"/>
    <w:link w:val="841"/>
    <w:rPr>
      <w:rFonts w:ascii="Arial" w:hAnsi="Arial" w:eastAsia="SimSun" w:cs="Arial"/>
      <w:b/>
      <w:bCs/>
      <w:sz w:val="32"/>
      <w:szCs w:val="32"/>
      <w:lang w:eastAsia="zh-CN"/>
    </w:rPr>
  </w:style>
  <w:style w:type="paragraph" w:styleId="846">
    <w:name w:val="List Paragraph"/>
    <w:basedOn w:val="840"/>
    <w:uiPriority w:val="34"/>
    <w:qFormat/>
    <w:pPr>
      <w:contextualSpacing/>
      <w:ind w:left="720"/>
    </w:pPr>
  </w:style>
  <w:style w:type="table" w:styleId="847">
    <w:name w:val="Table Grid"/>
    <w:basedOn w:val="843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48">
    <w:name w:val="Header"/>
    <w:basedOn w:val="840"/>
    <w:link w:val="84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9" w:customStyle="1">
    <w:name w:val="Верхний колонтитул Знак"/>
    <w:basedOn w:val="842"/>
    <w:link w:val="848"/>
    <w:uiPriority w:val="99"/>
    <w:rPr>
      <w:rFonts w:ascii="Calibri" w:hAnsi="Calibri" w:eastAsia="Calibri" w:cs="Calibri"/>
      <w:lang w:eastAsia="ru-RU"/>
    </w:rPr>
  </w:style>
  <w:style w:type="paragraph" w:styleId="850">
    <w:name w:val="Footer"/>
    <w:basedOn w:val="840"/>
    <w:link w:val="85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1" w:customStyle="1">
    <w:name w:val="Нижний колонтитул Знак"/>
    <w:basedOn w:val="842"/>
    <w:link w:val="850"/>
    <w:uiPriority w:val="99"/>
    <w:rPr>
      <w:rFonts w:ascii="Calibri" w:hAnsi="Calibri" w:eastAsia="Calibri" w:cs="Calibri"/>
      <w:lang w:eastAsia="ru-RU"/>
    </w:rPr>
  </w:style>
  <w:style w:type="paragraph" w:styleId="852">
    <w:name w:val="Balloon Text"/>
    <w:basedOn w:val="840"/>
    <w:link w:val="85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3" w:customStyle="1">
    <w:name w:val="Текст выноски Знак"/>
    <w:basedOn w:val="842"/>
    <w:link w:val="852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paragraph" w:styleId="854">
    <w:name w:val="Normal (Web)"/>
    <w:basedOn w:val="840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Relationship Id="rId16" Type="http://schemas.openxmlformats.org/officeDocument/2006/relationships/oleObject" Target="embeddings/oleObject3.bin"/><Relationship Id="rId17" Type="http://schemas.openxmlformats.org/officeDocument/2006/relationships/image" Target="media/image4.png"/><Relationship Id="rId18" Type="http://schemas.openxmlformats.org/officeDocument/2006/relationships/oleObject" Target="embeddings/oleObject4.bin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oleObject" Target="embeddings/oleObject5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5" Type="http://schemas.openxmlformats.org/officeDocument/2006/relationships/hyperlink" Target="https://melang72.ru" TargetMode="External"/><Relationship Id="rId6" Type="http://schemas.openxmlformats.org/officeDocument/2006/relationships/hyperlink" Target="mailto:melange72@yandex.ru" TargetMode="External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Егор Шелудков</cp:lastModifiedBy>
  <cp:revision>4</cp:revision>
  <dcterms:created xsi:type="dcterms:W3CDTF">2024-01-31T07:27:00Z</dcterms:created>
  <dcterms:modified xsi:type="dcterms:W3CDTF">2026-05-22T10:40:03Z</dcterms:modified>
</cp:coreProperties>
</file>