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33"/>
        <w:spacing w:before="0" w:beforeAutospacing="0"/>
        <w:shd w:val="clear" w:color="auto" w:fill="ffffff"/>
        <w:rPr>
          <w:b/>
          <w:bCs/>
          <w:color w:val="333333"/>
        </w:rPr>
      </w:pPr>
      <w:r>
        <w:rPr>
          <w:rStyle w:val="1034"/>
          <w:color w:val="333333"/>
        </w:rPr>
        <w:t xml:space="preserve">Штукатурка </w:t>
      </w:r>
      <w:r>
        <w:rPr>
          <w:rStyle w:val="1034"/>
          <w:color w:val="333333"/>
        </w:rPr>
        <w:t xml:space="preserve">цементная </w:t>
      </w:r>
      <w:r>
        <w:rPr>
          <w:rStyle w:val="1034"/>
          <w:color w:val="333333"/>
        </w:rPr>
        <w:t xml:space="preserve">М-100</w:t>
      </w:r>
      <w:r>
        <w:rPr>
          <w:rStyle w:val="1034"/>
          <w:color w:val="333333"/>
        </w:rPr>
        <w:t xml:space="preserve"> </w:t>
      </w:r>
      <w:r>
        <w:rPr>
          <w:rStyle w:val="1034"/>
          <w:color w:val="333333"/>
        </w:rPr>
        <w:t xml:space="preserve">Универсальная </w:t>
      </w:r>
      <w:r>
        <w:rPr>
          <w:b/>
          <w:bCs/>
          <w:color w:val="333333"/>
        </w:rPr>
      </w:r>
      <w:r>
        <w:rPr>
          <w:b/>
          <w:bCs/>
          <w:color w:val="333333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ПАСПОРТ  КАЧЕСТВА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1026"/>
        <w:tblW w:w="0" w:type="auto"/>
        <w:tblLook w:val="04A0" w:firstRow="1" w:lastRow="0" w:firstColumn="1" w:lastColumn="0" w:noHBand="0" w:noVBand="1"/>
      </w:tblPr>
      <w:tblGrid>
        <w:gridCol w:w="3366"/>
        <w:gridCol w:w="670"/>
        <w:gridCol w:w="4291"/>
        <w:gridCol w:w="2093"/>
      </w:tblGrid>
      <w:tr>
        <w:tblPrEx/>
        <w:trPr/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Смесь сухая штукатурная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цементном вяжущем производится  в соответствии с ГОСТ 33083—2014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289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мешок 25 кг.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/п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Наименование показателей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Фактические результаты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570"/>
        </w:trPr>
        <w:tc>
          <w:tcPr>
            <w:tcW w:w="0" w:type="auto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9150" w:dyaOrig="1422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width:115.50pt;height:178.50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2" ProgID="PBrush" ShapeID="_x0000_i2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33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Наибольшая крупность зёрен заполнителя (остаток на сите),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0,63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44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Подвижность растворной смеси,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Пк3/11,3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66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Водоудерживающая способность,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13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Сохраняемость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первоначальной подвижности, 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МКР 1 тонна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Расслаиваемость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растворной смеси,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5"/>
        </w:trPr>
        <w:tc>
          <w:tcPr>
            <w:tcW w:w="0" w:type="auto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850" w:dyaOrig="46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width:157.50pt;height:222.00pt;mso-wrap-distance-left:0.00pt;mso-wrap-distance-top:0.00pt;mso-wrap-distance-right:0.00pt;mso-wrap-distance-bottom:0.00pt;" filled="f" stroked="f">
                  <v:path textboxrect="0,0,0,0"/>
                  <v:imagedata r:id="rId17" o:title=""/>
                </v:shape>
                <o:OLEObject DrawAspect="Content" r:id="rId18" ObjectID="_1525043" ProgID="PBrush" ShapeID="_x0000_i3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на сжатие,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50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0" w:name="_GoBack"/>
            <w:r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сцепления (адгезия) с основанием,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06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Капиллярное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водопоглощение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кг /м² мин 0,5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9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паропроницаемости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Мг/(м*ч*Па)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99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Морозостойкость, циклов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F35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Деформация усадки,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хранения 12 месяцев с даты изготовления, в сухом помещении и плотно закрытой заводской упаковке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СВИДЕТЕЛЬСТВО О ГОСУДАРСТВЕННОЙ РЕГИСТРАЦИИ ПРОДУКЦИИ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1026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/>
        <w:tc>
          <w:tcPr>
            <w:tcW w:w="1042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025515" cy="8618220"/>
                      <wp:effectExtent l="0" t="0" r="0" b="0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25515" cy="8618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74.45pt;height:678.6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ДЕКЛАРАЦИЯ О СООТВЕТСТВИИ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1026"/>
        <w:tblW w:w="0" w:type="auto"/>
        <w:tblLook w:val="04A0" w:firstRow="1" w:lastRow="0" w:firstColumn="1" w:lastColumn="0" w:noHBand="0" w:noVBand="1"/>
      </w:tblPr>
      <w:tblGrid>
        <w:gridCol w:w="10140"/>
      </w:tblGrid>
      <w:tr>
        <w:tblPrEx/>
        <w:trPr>
          <w:trHeight w:val="13348"/>
        </w:trPr>
        <w:tc>
          <w:tcPr>
            <w:tcW w:w="101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52515" cy="6927850"/>
                      <wp:effectExtent l="0" t="0" r="635" b="6350"/>
                      <wp:docPr id="6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52515" cy="6927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84.45pt;height:545.50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МЕШКОТАРА 25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кг.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1026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13278"/>
        </w:trPr>
        <w:tc>
          <w:tcPr>
            <w:tcW w:w="10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9150" w:dyaOrig="1422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width:414.00pt;height:643.50pt;mso-wrap-distance-left:0.00pt;mso-wrap-distance-top:0.00pt;mso-wrap-distance-right:0.00pt;mso-wrap-distance-bottom:0.00pt;" filled="f" stroked="f">
                  <v:path textboxrect="0,0,0,0"/>
                  <v:imagedata r:id="rId21" o:title=""/>
                </v:shape>
                <o:OLEObject DrawAspect="Content" r:id="rId22" ObjectID="_1525046" ProgID="PBrush" ShapeID="_x0000_i6" Type="Embed"/>
              </w:objec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ОПИСАНИЕ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1026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577"/>
        </w:trPr>
        <w:tc>
          <w:tcPr>
            <w:tcW w:w="10420" w:type="dxa"/>
            <w:textDirection w:val="lrTb"/>
            <w:noWrap w:val="false"/>
          </w:tcPr>
          <w:p>
            <w:pPr>
              <w:rPr>
                <w:rStyle w:val="1034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Style w:val="1034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Штукатурка цементная </w:t>
            </w:r>
            <w:r>
              <w:rPr>
                <w:rStyle w:val="1034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М-100</w:t>
            </w:r>
            <w:r>
              <w:rPr>
                <w:rStyle w:val="1034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Универсальная </w:t>
            </w:r>
            <w:r>
              <w:rPr>
                <w:rStyle w:val="1034"/>
                <w:rFonts w:ascii="Times New Roman" w:hAnsi="Times New Roman" w:cs="Times New Roman"/>
                <w:color w:val="333333"/>
                <w:sz w:val="24"/>
                <w:szCs w:val="24"/>
              </w:rPr>
            </w:r>
            <w:r>
              <w:rPr>
                <w:rStyle w:val="1034"/>
                <w:rFonts w:ascii="Times New Roman" w:hAnsi="Times New Roman" w:cs="Times New Roman"/>
                <w:color w:val="333333"/>
                <w:sz w:val="24"/>
                <w:szCs w:val="24"/>
              </w:rPr>
            </w:r>
          </w:p>
          <w:p>
            <w:pPr>
              <w:pStyle w:val="1033"/>
              <w:spacing w:before="0" w:beforeAutospacing="0" w:after="0" w:afterAutospacing="0"/>
              <w:shd w:val="clear" w:color="auto" w:fill="ffffff"/>
            </w:pPr>
            <w:r>
              <w:rPr>
                <w:color w:val="666666"/>
                <w:shd w:val="clear" w:color="auto" w:fill="ffffff"/>
              </w:rPr>
              <w:t xml:space="preserve"> </w:t>
            </w:r>
            <w:r>
              <w:rPr>
                <w:color w:val="666666"/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Смесь применяется для в</w:t>
            </w:r>
            <w:r>
              <w:rPr>
                <w:color w:val="000000"/>
                <w:shd w:val="clear" w:color="auto" w:fill="ffffff"/>
              </w:rPr>
              <w:t xml:space="preserve">ыравнивания кирпичных, каменных и бетонных поверхностей (наружные и внутренние стены, перегородки, колонны и т.п.) ручным и машинным способом нанесения. Рекомендуется для внутренних работ в помещениях с любой влажностью, а также для наружных работ.</w:t>
            </w:r>
            <w:r>
              <w:rPr>
                <w:color w:val="000000"/>
                <w:spacing w:val="2"/>
              </w:rPr>
              <w:br/>
            </w:r>
            <w:r/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основы: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3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Основание должно быть сухим, прочным, очищенным от пыли, старой краски, масляных пятен и других покрытий, ухудшающих сцепление с поверхностью.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3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 глубокие повреждения поверхности (трещины, выбоины и др.) должны быть предварительно заделаны, металлические элементы должны быть защищены от коррозии.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3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гладких и глянцевых поверхностях необходимо выполнить насечку.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3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Поверхность основания необходимо обработать соответствующей основанию грунтовкой в один или несколько слоев. После нанесения дать грунтовке высохнуть.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5"/>
              <w:jc w:val="bot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выполняемых работ: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9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Оштукатуривание внутри и снаружи зданий под дальнейшее чистовое покрытие (шпатлевка, декоративные штукатурки, покраска, декоративный кирпич, плитку и т.п.)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9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Идеально подходит для нанесения штукатурок тапа «Короед» и «Шуба»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9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для механизированного и ручного нанесения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9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боится сырости!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33"/>
              <w:jc w:val="both"/>
              <w:spacing w:before="0" w:beforeAutospacing="0" w:after="240" w:afterAutospacing="0" w:line="276" w:lineRule="auto"/>
              <w:rPr>
                <w:b/>
                <w:color w:val="222222"/>
              </w:rPr>
            </w:pPr>
            <w:r>
              <w:rPr>
                <w:b/>
                <w:color w:val="222222"/>
              </w:rPr>
            </w:r>
            <w:r>
              <w:rPr>
                <w:b/>
                <w:color w:val="222222"/>
              </w:rPr>
            </w:r>
            <w:r>
              <w:rPr>
                <w:b/>
                <w:color w:val="222222"/>
              </w:rPr>
            </w:r>
          </w:p>
          <w:p>
            <w:pPr>
              <w:pStyle w:val="1033"/>
              <w:jc w:val="both"/>
              <w:spacing w:before="0" w:beforeAutospacing="0" w:after="240" w:afterAutospacing="0" w:line="276" w:lineRule="auto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Приготовление растворной смеси:</w:t>
            </w:r>
            <w:r>
              <w:rPr>
                <w:b/>
                <w:color w:val="222222"/>
              </w:rPr>
            </w:r>
            <w:r>
              <w:rPr>
                <w:b/>
                <w:color w:val="222222"/>
              </w:rPr>
            </w:r>
          </w:p>
          <w:p>
            <w:pPr>
              <w:pStyle w:val="1025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приготовления используйте чистые емкости и инструменты.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Грязный инструмент сократит жизнь готового раствора.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Сухую смесь высыпать в емкость с чистой водой температурой от +15° до +18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соотношении 0,18-0,25 л. воды на 1 кг смеси.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Тщательно перемещать при помощи дрели с насадкой до получения однородной массы без комков.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Дать выстояться в течение 10 минут и перемешать вторично.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Избыток воды приводит к снижению прочностных характеристик раствора.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Приготовленную растворную смесь можно использовать в течение 2-х часов.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33"/>
              <w:jc w:val="both"/>
              <w:spacing w:before="0" w:beforeAutospacing="0" w:after="24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Порядок работы:</w:t>
            </w:r>
            <w:r>
              <w:rPr>
                <w:b/>
                <w:color w:val="222222"/>
              </w:rPr>
            </w:r>
            <w:r>
              <w:rPr>
                <w:b/>
                <w:color w:val="222222"/>
              </w:rPr>
            </w:r>
          </w:p>
          <w:p>
            <w:pPr>
              <w:pStyle w:val="1033"/>
              <w:numPr>
                <w:ilvl w:val="0"/>
                <w:numId w:val="6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Работы необходимо проводить в резиновых перчатках. Для защиты дыхательных путей применять респиратор или марлевую повязку. При попадании в глаза немедленно промыть большим количеством воды.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1025"/>
              <w:numPr>
                <w:ilvl w:val="0"/>
                <w:numId w:val="6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Перед началом работ следует подготовить рабочую поверхность.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6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03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 ручном способе нанесения: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Готовую штукатурную смесь нанести на поверхность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набросом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или намазыванием, затем разровнять при помощи правила.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6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Подрезку штукатурного слоя (удаление неровностей и наплывов) производить после схватывания растворной смеси.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25"/>
              <w:numPr>
                <w:ilvl w:val="0"/>
                <w:numId w:val="6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Время схватывания зависит от толщины слоя, температуры и влажности воздуха (6-12 часов с момента нанесения).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33"/>
              <w:numPr>
                <w:ilvl w:val="0"/>
                <w:numId w:val="6"/>
              </w:numPr>
              <w:jc w:val="both"/>
              <w:spacing w:before="0" w:beforeAutospacing="0" w:after="0" w:afterAutospacing="0"/>
            </w:pPr>
            <w:r>
              <w:rPr>
                <w:rStyle w:val="1034"/>
                <w:shd w:val="clear" w:color="auto" w:fill="ffffff"/>
              </w:rPr>
              <w:t xml:space="preserve">При механизированном способе нанесения:  </w:t>
            </w:r>
            <w:r>
              <w:t xml:space="preserve">Сухую смесь высыпать в бункер </w:t>
            </w:r>
            <w:r>
              <w:t xml:space="preserve">штукатурной станции. </w:t>
            </w:r>
            <w:r/>
          </w:p>
          <w:p>
            <w:pPr>
              <w:pStyle w:val="1033"/>
              <w:numPr>
                <w:ilvl w:val="0"/>
                <w:numId w:val="6"/>
              </w:numPr>
              <w:jc w:val="both"/>
              <w:spacing w:before="0" w:beforeAutospacing="0" w:after="0" w:afterAutospacing="0"/>
            </w:pPr>
            <w:r>
              <w:t xml:space="preserve">Расход воды для перемешивания установить в зависимости от требуемой </w:t>
            </w:r>
            <w:r>
              <w:t xml:space="preserve">констистенции</w:t>
            </w:r>
            <w:r>
              <w:t xml:space="preserve"> растворной смеси. </w:t>
            </w:r>
            <w:r/>
          </w:p>
          <w:p>
            <w:pPr>
              <w:pStyle w:val="1033"/>
              <w:numPr>
                <w:ilvl w:val="0"/>
                <w:numId w:val="6"/>
              </w:numPr>
              <w:jc w:val="both"/>
              <w:spacing w:before="0" w:beforeAutospacing="0" w:after="0" w:afterAutospacing="0"/>
            </w:pPr>
            <w:r>
              <w:t xml:space="preserve">Штукатурную смесь нанести на поверхность </w:t>
            </w:r>
            <w:r>
              <w:t xml:space="preserve">набрызгом</w:t>
            </w:r>
            <w:r>
              <w:t xml:space="preserve"> полосами в один слой. </w:t>
            </w:r>
            <w:r/>
          </w:p>
          <w:p>
            <w:pPr>
              <w:pStyle w:val="1033"/>
              <w:numPr>
                <w:ilvl w:val="0"/>
                <w:numId w:val="6"/>
              </w:numPr>
              <w:jc w:val="both"/>
              <w:spacing w:before="0" w:beforeAutospacing="0" w:after="0" w:afterAutospacing="0"/>
            </w:pPr>
            <w:r>
              <w:t xml:space="preserve">Разровнять при помощи правила, затем разровнять при помощи правила. </w:t>
            </w:r>
            <w:r/>
          </w:p>
          <w:p>
            <w:pPr>
              <w:pStyle w:val="1033"/>
              <w:numPr>
                <w:ilvl w:val="0"/>
                <w:numId w:val="6"/>
              </w:numPr>
              <w:jc w:val="both"/>
              <w:spacing w:before="0" w:beforeAutospacing="0" w:after="0" w:afterAutospacing="0"/>
            </w:pPr>
            <w:r>
              <w:t xml:space="preserve">Подрезку штукатурного слоя (удаление неровностей и наплывов) производить после схватывания растворной смеси. Время схватывания зависит от толщины слоя, температуры и влажности воздуха</w:t>
            </w:r>
            <w:r/>
          </w:p>
          <w:p>
            <w:pPr>
              <w:pStyle w:val="1033"/>
              <w:numPr>
                <w:ilvl w:val="0"/>
                <w:numId w:val="6"/>
              </w:numPr>
              <w:jc w:val="both"/>
              <w:spacing w:before="0" w:beforeAutospacing="0" w:after="0" w:afterAutospacing="0"/>
            </w:pPr>
            <w:r>
              <w:t xml:space="preserve">После подрезки поверхность затереть губчатой (войлочной) теркой, обильно смоченной водой, заполняя все оставшиеся неровности в нанесенном слое.</w:t>
            </w:r>
            <w:r/>
          </w:p>
          <w:p>
            <w:pPr>
              <w:ind w:left="36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1033"/>
              <w:jc w:val="both"/>
              <w:spacing w:before="0" w:beforeAutospacing="0" w:after="24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Условия транспортирования и хранения:</w:t>
            </w:r>
            <w:r>
              <w:rPr>
                <w:b/>
                <w:color w:val="222222"/>
              </w:rPr>
            </w:r>
            <w:r>
              <w:rPr>
                <w:b/>
                <w:color w:val="222222"/>
              </w:rPr>
            </w:r>
          </w:p>
          <w:p>
            <w:pPr>
              <w:pStyle w:val="1033"/>
              <w:numPr>
                <w:ilvl w:val="0"/>
                <w:numId w:val="7"/>
              </w:numPr>
              <w:jc w:val="both"/>
              <w:spacing w:before="0" w:beforeAutospacing="0" w:after="240" w:afterAutospacing="0"/>
              <w:rPr>
                <w:color w:val="222222"/>
              </w:rPr>
            </w:pPr>
            <w:r>
              <w:rPr>
                <w:color w:val="222222"/>
              </w:rPr>
              <w:t xml:space="preserve">Смесь транспортировать в крытых транспортных средствах в соответствии с правилами перевозки груз</w:t>
            </w:r>
            <w:r>
              <w:rPr>
                <w:color w:val="222222"/>
              </w:rPr>
              <w:t xml:space="preserve">ов. Мешки с сухой смесью хранить в крытых сухих помещениях в условиях, обеспечивающих сохранность упаковки и предохранение от увлажнения. Срок хранения в таре изготовителя – 6 месяцев со дня изготовления при соблюдении условий транспортирования и хранения.</w:t>
            </w: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1033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tbl>
            <w:tblPr>
              <w:tblStyle w:val="1026"/>
              <w:tblpPr w:horzAnchor="page" w:tblpX="1303" w:vertAnchor="text" w:tblpY="16" w:leftFromText="180" w:topFromText="0" w:rightFromText="180" w:bottomFromText="0"/>
              <w:tblW w:w="0" w:type="auto"/>
              <w:tblLook w:val="04A0" w:firstRow="1" w:lastRow="0" w:firstColumn="1" w:lastColumn="0" w:noHBand="0" w:noVBand="1"/>
            </w:tblPr>
            <w:tblGrid>
              <w:gridCol w:w="5173"/>
              <w:gridCol w:w="1336"/>
            </w:tblGrid>
            <w:tr>
              <w:tblPrEx/>
              <w:trPr>
                <w:trHeight w:val="358"/>
              </w:trPr>
              <w:tc>
                <w:tcPr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Наибольшая крупность зерен заполнителя, </w:t>
                  </w:r>
                  <w:r>
                    <w:rPr>
                      <w:color w:val="222222"/>
                    </w:rPr>
                    <w:t xml:space="preserve">мм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0,63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Марка прочности на сжатие МПа, не менее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10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t xml:space="preserve">Адгезия к основанию МПа, не менее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0,3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t xml:space="preserve">Расход воды на 1 кг сухой смеси, литров:</w:t>
                  </w:r>
                  <w:r>
                    <w:tab/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0,18-0,25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</w:pPr>
                  <w:r>
                    <w:t xml:space="preserve">Расход воды на 25 кг сухой смеси, литров:</w:t>
                  </w:r>
                  <w:r/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4,5-6,25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Жизнеспособность раствора мин., не менее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120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Расход сухой смеси на 1 м</w:t>
                  </w:r>
                  <w:r>
                    <w:rPr>
                      <w:color w:val="222222"/>
                      <w:vertAlign w:val="superscript"/>
                    </w:rPr>
                    <w:t xml:space="preserve">2</w:t>
                  </w:r>
                  <w:r>
                    <w:rPr>
                      <w:color w:val="222222"/>
                    </w:rPr>
                    <w:t xml:space="preserve"> при толщине 10 мм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15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Максимальная толщина слоя, </w:t>
                  </w:r>
                  <w:r>
                    <w:rPr>
                      <w:color w:val="222222"/>
                    </w:rPr>
                    <w:t xml:space="preserve">мм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5-30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</w:rPr>
                    <w:t xml:space="preserve">Морозостойкость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  <w:tc>
                <w:tcPr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1033"/>
                    <w:spacing w:before="0" w:beforeAutospacing="0" w:after="0" w:afterAutospacing="0"/>
                    <w:rPr>
                      <w:color w:val="222222"/>
                    </w:rPr>
                  </w:pPr>
                  <w:r>
                    <w:rPr>
                      <w:color w:val="222222"/>
                      <w:lang w:val="en-US"/>
                    </w:rPr>
                    <w:t xml:space="preserve">F</w:t>
                  </w:r>
                  <w:r>
                    <w:rPr>
                      <w:color w:val="222222"/>
                    </w:rPr>
                    <w:t xml:space="preserve">35</w:t>
                  </w:r>
                  <w:r>
                    <w:rPr>
                      <w:color w:val="222222"/>
                    </w:rPr>
                  </w:r>
                  <w:r>
                    <w:rPr>
                      <w:color w:val="222222"/>
                    </w:rPr>
                  </w:r>
                </w:p>
              </w:tc>
            </w:tr>
          </w:tbl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ГОСТ 33083-2014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42" w:right="851" w:bottom="567" w:left="851" w:header="137" w:footer="124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SimSun">
    <w:panose1 w:val="02020603020101020101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9"/>
      <w:tabs>
        <w:tab w:val="left" w:pos="1740" w:leader="none"/>
        <w:tab w:val="right" w:pos="10205" w:leader="none"/>
      </w:tabs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026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645"/>
      <w:gridCol w:w="905"/>
      <w:gridCol w:w="3199"/>
      <w:gridCol w:w="1028"/>
      <w:gridCol w:w="2643"/>
    </w:tblGrid>
    <w:tr>
      <w:tblPrEx/>
      <w:trPr>
        <w:trHeight w:val="717"/>
      </w:trPr>
      <w:tc>
        <w:tcPr>
          <w:tcW w:w="127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ИНН/КПП 7203388776/720301001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625031 Тюменская обл., г. Тюмень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ул. Тимофея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Чаркова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, 8Б/1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43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13500" w:dyaOrig="1578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.50pt;height:39.00pt;mso-wrap-distance-left:0.00pt;mso-wrap-distance-top:0.00pt;mso-wrap-distance-right:0.00pt;mso-wrap-distance-bottom:0.00pt;" filled="f" stroked="f">
                <v:path textboxrect="0,0,0,0"/>
                <v:imagedata r:id="rId1" o:title=""/>
              </v:shape>
              <o:OLEObject DrawAspect="Content" r:id="rId2" ObjectID="_1525040" ProgID="PBrush" ShapeID="_x0000_i0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540" w:type="pct"/>
          <w:vAlign w:val="center"/>
          <w:textDirection w:val="lrTb"/>
          <w:noWrap w:val="false"/>
        </w:tcPr>
        <w:p>
          <w:pPr>
            <w:pStyle w:val="1020"/>
            <w:jc w:val="center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outlineLvl w:val="0"/>
          </w:pP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t xml:space="preserve">Завод ООО «Меланж»</w:t>
          </w: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</w: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Наши сухие строительные смеси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– это просто добавь воды!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</w:tc>
      <w:tc>
        <w:tcPr>
          <w:tcW w:w="478" w:type="pct"/>
          <w:vAlign w:val="center"/>
          <w:textDirection w:val="lrTb"/>
          <w:noWrap w:val="false"/>
        </w:tcPr>
        <w:p>
          <w:pPr>
            <w:jc w:val="center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3900" w:dyaOrig="390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.50pt;height:40.50pt;mso-wrap-distance-left:0.00pt;mso-wrap-distance-top:0.00pt;mso-wrap-distance-right:0.00pt;mso-wrap-distance-bottom:0.00pt;" filled="f" stroked="f">
                <v:path textboxrect="0,0,0,0"/>
                <v:imagedata r:id="rId3" o:title=""/>
              </v:shape>
              <o:OLEObject DrawAspect="Content" r:id="rId4" ObjectID="_1525041" ProgID="PBrush" ShapeID="_x0000_i1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273" w:type="pct"/>
          <w:vAlign w:val="center"/>
          <w:textDirection w:val="lrTb"/>
          <w:noWrap w:val="false"/>
        </w:tcPr>
        <w:p>
          <w:pPr>
            <w:jc w:val="right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Тел./Факс: 8 (3452) 28-54-48,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br/>
            <w:t xml:space="preserve">сайт: </w:t>
          </w:r>
          <w:hyperlink r:id="rId5" w:tooltip="https://melang72.ru" w:history="1"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https://melang72.ru</w:t>
            </w:r>
          </w:hyperlink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pStyle w:val="1020"/>
            <w:jc w:val="right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  <w:outlineLvl w:val="0"/>
          </w:pP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e-mail</w:t>
          </w: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: </w:t>
          </w:r>
          <w:hyperlink r:id="rId6" w:tooltip="mailto:melange72@yandex.ru" w:history="1">
            <w:r>
              <w:rPr>
                <w:rFonts w:ascii="Times New Roman" w:hAnsi="Times New Roman" w:cs="Times New Roman"/>
                <w:b w:val="0"/>
                <w:color w:val="0000ff"/>
                <w:sz w:val="16"/>
                <w:szCs w:val="16"/>
                <w:lang w:val="en-US"/>
              </w:rPr>
              <w:t xml:space="preserve">melange72@yandex.ru</w:t>
            </w:r>
          </w:hyperlink>
          <w:r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</w: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</w:r>
        </w:p>
      </w:tc>
    </w:tr>
  </w:tbl>
  <w:p>
    <w:pPr>
      <w:pStyle w:val="1027"/>
      <w:rPr>
        <w:lang w:val="en-US"/>
      </w:rPr>
    </w:pPr>
    <w:r>
      <w:rPr>
        <w:lang w:val="en-US"/>
      </w:rPr>
    </w:r>
    <w:r>
      <w:rPr>
        <w:lang w:val="en-US"/>
      </w:rPr>
    </w:r>
    <w:r>
      <w:rPr>
        <w:lang w:val="en-US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left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left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left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left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left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left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left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left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46">
    <w:name w:val="Heading 1 Char"/>
    <w:basedOn w:val="1021"/>
    <w:link w:val="1020"/>
    <w:uiPriority w:val="9"/>
    <w:rPr>
      <w:rFonts w:ascii="Arial" w:hAnsi="Arial" w:eastAsia="Arial" w:cs="Arial"/>
      <w:sz w:val="40"/>
      <w:szCs w:val="40"/>
    </w:rPr>
  </w:style>
  <w:style w:type="paragraph" w:styleId="847">
    <w:name w:val="Heading 2"/>
    <w:basedOn w:val="1019"/>
    <w:next w:val="1019"/>
    <w:link w:val="84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48">
    <w:name w:val="Heading 2 Char"/>
    <w:basedOn w:val="1021"/>
    <w:link w:val="847"/>
    <w:uiPriority w:val="9"/>
    <w:rPr>
      <w:rFonts w:ascii="Arial" w:hAnsi="Arial" w:eastAsia="Arial" w:cs="Arial"/>
      <w:sz w:val="34"/>
    </w:rPr>
  </w:style>
  <w:style w:type="paragraph" w:styleId="849">
    <w:name w:val="Heading 3"/>
    <w:basedOn w:val="1019"/>
    <w:next w:val="1019"/>
    <w:link w:val="85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50">
    <w:name w:val="Heading 3 Char"/>
    <w:basedOn w:val="1021"/>
    <w:link w:val="849"/>
    <w:uiPriority w:val="9"/>
    <w:rPr>
      <w:rFonts w:ascii="Arial" w:hAnsi="Arial" w:eastAsia="Arial" w:cs="Arial"/>
      <w:sz w:val="30"/>
      <w:szCs w:val="30"/>
    </w:rPr>
  </w:style>
  <w:style w:type="paragraph" w:styleId="851">
    <w:name w:val="Heading 4"/>
    <w:basedOn w:val="1019"/>
    <w:next w:val="1019"/>
    <w:link w:val="85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52">
    <w:name w:val="Heading 4 Char"/>
    <w:basedOn w:val="1021"/>
    <w:link w:val="851"/>
    <w:uiPriority w:val="9"/>
    <w:rPr>
      <w:rFonts w:ascii="Arial" w:hAnsi="Arial" w:eastAsia="Arial" w:cs="Arial"/>
      <w:b/>
      <w:bCs/>
      <w:sz w:val="26"/>
      <w:szCs w:val="26"/>
    </w:rPr>
  </w:style>
  <w:style w:type="paragraph" w:styleId="853">
    <w:name w:val="Heading 5"/>
    <w:basedOn w:val="1019"/>
    <w:next w:val="1019"/>
    <w:link w:val="85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54">
    <w:name w:val="Heading 5 Char"/>
    <w:basedOn w:val="1021"/>
    <w:link w:val="853"/>
    <w:uiPriority w:val="9"/>
    <w:rPr>
      <w:rFonts w:ascii="Arial" w:hAnsi="Arial" w:eastAsia="Arial" w:cs="Arial"/>
      <w:b/>
      <w:bCs/>
      <w:sz w:val="24"/>
      <w:szCs w:val="24"/>
    </w:rPr>
  </w:style>
  <w:style w:type="paragraph" w:styleId="855">
    <w:name w:val="Heading 6"/>
    <w:basedOn w:val="1019"/>
    <w:next w:val="1019"/>
    <w:link w:val="85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56">
    <w:name w:val="Heading 6 Char"/>
    <w:basedOn w:val="1021"/>
    <w:link w:val="855"/>
    <w:uiPriority w:val="9"/>
    <w:rPr>
      <w:rFonts w:ascii="Arial" w:hAnsi="Arial" w:eastAsia="Arial" w:cs="Arial"/>
      <w:b/>
      <w:bCs/>
      <w:sz w:val="22"/>
      <w:szCs w:val="22"/>
    </w:rPr>
  </w:style>
  <w:style w:type="paragraph" w:styleId="857">
    <w:name w:val="Heading 7"/>
    <w:basedOn w:val="1019"/>
    <w:next w:val="1019"/>
    <w:link w:val="85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58">
    <w:name w:val="Heading 7 Char"/>
    <w:basedOn w:val="1021"/>
    <w:link w:val="85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59">
    <w:name w:val="Heading 8"/>
    <w:basedOn w:val="1019"/>
    <w:next w:val="1019"/>
    <w:link w:val="86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60">
    <w:name w:val="Heading 8 Char"/>
    <w:basedOn w:val="1021"/>
    <w:link w:val="859"/>
    <w:uiPriority w:val="9"/>
    <w:rPr>
      <w:rFonts w:ascii="Arial" w:hAnsi="Arial" w:eastAsia="Arial" w:cs="Arial"/>
      <w:i/>
      <w:iCs/>
      <w:sz w:val="22"/>
      <w:szCs w:val="22"/>
    </w:rPr>
  </w:style>
  <w:style w:type="paragraph" w:styleId="861">
    <w:name w:val="Heading 9"/>
    <w:basedOn w:val="1019"/>
    <w:next w:val="1019"/>
    <w:link w:val="86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62">
    <w:name w:val="Heading 9 Char"/>
    <w:basedOn w:val="1021"/>
    <w:link w:val="861"/>
    <w:uiPriority w:val="9"/>
    <w:rPr>
      <w:rFonts w:ascii="Arial" w:hAnsi="Arial" w:eastAsia="Arial" w:cs="Arial"/>
      <w:i/>
      <w:iCs/>
      <w:sz w:val="21"/>
      <w:szCs w:val="21"/>
    </w:rPr>
  </w:style>
  <w:style w:type="paragraph" w:styleId="863">
    <w:name w:val="No Spacing"/>
    <w:uiPriority w:val="1"/>
    <w:qFormat/>
    <w:pPr>
      <w:spacing w:before="0" w:after="0" w:line="240" w:lineRule="auto"/>
    </w:pPr>
  </w:style>
  <w:style w:type="paragraph" w:styleId="864">
    <w:name w:val="Title"/>
    <w:basedOn w:val="1019"/>
    <w:next w:val="1019"/>
    <w:link w:val="86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65">
    <w:name w:val="Title Char"/>
    <w:basedOn w:val="1021"/>
    <w:link w:val="864"/>
    <w:uiPriority w:val="10"/>
    <w:rPr>
      <w:sz w:val="48"/>
      <w:szCs w:val="48"/>
    </w:rPr>
  </w:style>
  <w:style w:type="paragraph" w:styleId="866">
    <w:name w:val="Subtitle"/>
    <w:basedOn w:val="1019"/>
    <w:next w:val="1019"/>
    <w:link w:val="867"/>
    <w:uiPriority w:val="11"/>
    <w:qFormat/>
    <w:pPr>
      <w:spacing w:before="200" w:after="200"/>
    </w:pPr>
    <w:rPr>
      <w:sz w:val="24"/>
      <w:szCs w:val="24"/>
    </w:rPr>
  </w:style>
  <w:style w:type="character" w:styleId="867">
    <w:name w:val="Subtitle Char"/>
    <w:basedOn w:val="1021"/>
    <w:link w:val="866"/>
    <w:uiPriority w:val="11"/>
    <w:rPr>
      <w:sz w:val="24"/>
      <w:szCs w:val="24"/>
    </w:rPr>
  </w:style>
  <w:style w:type="paragraph" w:styleId="868">
    <w:name w:val="Quote"/>
    <w:basedOn w:val="1019"/>
    <w:next w:val="1019"/>
    <w:link w:val="869"/>
    <w:uiPriority w:val="29"/>
    <w:qFormat/>
    <w:pPr>
      <w:ind w:left="720" w:right="720"/>
    </w:pPr>
    <w:rPr>
      <w:i/>
    </w:rPr>
  </w:style>
  <w:style w:type="character" w:styleId="869">
    <w:name w:val="Quote Char"/>
    <w:link w:val="868"/>
    <w:uiPriority w:val="29"/>
    <w:rPr>
      <w:i/>
    </w:rPr>
  </w:style>
  <w:style w:type="paragraph" w:styleId="870">
    <w:name w:val="Intense Quote"/>
    <w:basedOn w:val="1019"/>
    <w:next w:val="1019"/>
    <w:link w:val="87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71">
    <w:name w:val="Intense Quote Char"/>
    <w:link w:val="870"/>
    <w:uiPriority w:val="30"/>
    <w:rPr>
      <w:i/>
    </w:rPr>
  </w:style>
  <w:style w:type="character" w:styleId="872">
    <w:name w:val="Header Char"/>
    <w:basedOn w:val="1021"/>
    <w:link w:val="1027"/>
    <w:uiPriority w:val="99"/>
  </w:style>
  <w:style w:type="character" w:styleId="873">
    <w:name w:val="Footer Char"/>
    <w:basedOn w:val="1021"/>
    <w:link w:val="1029"/>
    <w:uiPriority w:val="99"/>
  </w:style>
  <w:style w:type="paragraph" w:styleId="874">
    <w:name w:val="Caption"/>
    <w:basedOn w:val="1019"/>
    <w:next w:val="1019"/>
    <w:link w:val="87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75">
    <w:name w:val="Caption Char"/>
    <w:basedOn w:val="874"/>
    <w:link w:val="1029"/>
    <w:uiPriority w:val="99"/>
  </w:style>
  <w:style w:type="table" w:styleId="876">
    <w:name w:val="Table Grid Light"/>
    <w:basedOn w:val="102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77">
    <w:name w:val="Plain Table 1"/>
    <w:basedOn w:val="102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8">
    <w:name w:val="Plain Table 2"/>
    <w:basedOn w:val="102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9">
    <w:name w:val="Plain Table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80">
    <w:name w:val="Plain Table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>
    <w:name w:val="Plain Table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82">
    <w:name w:val="Grid Table 1 Light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>
    <w:name w:val="Grid Table 1 Light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Grid Table 1 Light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>
    <w:name w:val="Grid Table 1 Light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Grid Table 1 Light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>
    <w:name w:val="Grid Table 1 Light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>
    <w:name w:val="Grid Table 1 Light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>
    <w:name w:val="Grid Table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Grid Table 2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Grid Table 2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Grid Table 2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Grid Table 2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Grid Table 2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>
    <w:name w:val="Grid Table 2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Grid Table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Grid Table 3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>
    <w:name w:val="Grid Table 3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>
    <w:name w:val="Grid Table 3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3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Grid Table 3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Grid Table 3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Grid Table 4"/>
    <w:basedOn w:val="10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04">
    <w:name w:val="Grid Table 4 - Accent 1"/>
    <w:basedOn w:val="10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05">
    <w:name w:val="Grid Table 4 - Accent 2"/>
    <w:basedOn w:val="10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06">
    <w:name w:val="Grid Table 4 - Accent 3"/>
    <w:basedOn w:val="10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07">
    <w:name w:val="Grid Table 4 - Accent 4"/>
    <w:basedOn w:val="10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08">
    <w:name w:val="Grid Table 4 - Accent 5"/>
    <w:basedOn w:val="10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09">
    <w:name w:val="Grid Table 4 - Accent 6"/>
    <w:basedOn w:val="10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10">
    <w:name w:val="Grid Table 5 Dark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11">
    <w:name w:val="Grid Table 5 Dark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12">
    <w:name w:val="Grid Table 5 Dark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13">
    <w:name w:val="Grid Table 5 Dark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14">
    <w:name w:val="Grid Table 5 Dark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15">
    <w:name w:val="Grid Table 5 Dark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16">
    <w:name w:val="Grid Table 5 Dark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7">
    <w:name w:val="Grid Table 6 Colorful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8">
    <w:name w:val="Grid Table 6 Colorful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9">
    <w:name w:val="Grid Table 6 Colorful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0">
    <w:name w:val="Grid Table 6 Colorful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1">
    <w:name w:val="Grid Table 6 Colorful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22">
    <w:name w:val="Grid Table 6 Colorful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23">
    <w:name w:val="Grid Table 6 Colorful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24">
    <w:name w:val="Grid Table 7 Colorful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7 Colorful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7 Colorful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7 Colorful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7 Colorful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7 Colorful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7 Colorful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List Table 1 Light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List Table 1 Light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List Table 1 Light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List Table 1 Light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List Table 1 Light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>
    <w:name w:val="List Table 1 Light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7">
    <w:name w:val="List Table 1 Light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8">
    <w:name w:val="List Table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39">
    <w:name w:val="List Table 2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40">
    <w:name w:val="List Table 2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41">
    <w:name w:val="List Table 2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42">
    <w:name w:val="List Table 2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43">
    <w:name w:val="List Table 2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44">
    <w:name w:val="List Table 2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45">
    <w:name w:val="List Table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>
    <w:name w:val="List Table 3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>
    <w:name w:val="List Table 3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>
    <w:name w:val="List Table 3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9">
    <w:name w:val="List Table 3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0">
    <w:name w:val="List Table 3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1">
    <w:name w:val="List Table 3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2">
    <w:name w:val="List Table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3">
    <w:name w:val="List Table 4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4">
    <w:name w:val="List Table 4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5">
    <w:name w:val="List Table 4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6">
    <w:name w:val="List Table 4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7">
    <w:name w:val="List Table 4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8">
    <w:name w:val="List Table 4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9">
    <w:name w:val="List Table 5 Dark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0">
    <w:name w:val="List Table 5 Dark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1">
    <w:name w:val="List Table 5 Dark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2">
    <w:name w:val="List Table 5 Dark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3">
    <w:name w:val="List Table 5 Dark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4">
    <w:name w:val="List Table 5 Dark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5">
    <w:name w:val="List Table 5 Dark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6">
    <w:name w:val="List Table 6 Colorful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67">
    <w:name w:val="List Table 6 Colorful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68">
    <w:name w:val="List Table 6 Colorful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69">
    <w:name w:val="List Table 6 Colorful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70">
    <w:name w:val="List Table 6 Colorful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71">
    <w:name w:val="List Table 6 Colorful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72">
    <w:name w:val="List Table 6 Colorful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73">
    <w:name w:val="List Table 7 Colorful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74">
    <w:name w:val="List Table 7 Colorful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75">
    <w:name w:val="List Table 7 Colorful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76">
    <w:name w:val="List Table 7 Colorful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77">
    <w:name w:val="List Table 7 Colorful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78">
    <w:name w:val="List Table 7 Colorful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79">
    <w:name w:val="List Table 7 Colorful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80">
    <w:name w:val="Lined - Accent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81">
    <w:name w:val="Lined - Accent 1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82">
    <w:name w:val="Lined - Accent 2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83">
    <w:name w:val="Lined - Accent 3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84">
    <w:name w:val="Lined - Accent 4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85">
    <w:name w:val="Lined - Accent 5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86">
    <w:name w:val="Lined - Accent 6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87">
    <w:name w:val="Bordered &amp; Lined - Accent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88">
    <w:name w:val="Bordered &amp; Lined - Accent 1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89">
    <w:name w:val="Bordered &amp; Lined - Accent 2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90">
    <w:name w:val="Bordered &amp; Lined - Accent 3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91">
    <w:name w:val="Bordered &amp; Lined - Accent 4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92">
    <w:name w:val="Bordered &amp; Lined - Accent 5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93">
    <w:name w:val="Bordered &amp; Lined - Accent 6"/>
    <w:basedOn w:val="10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94">
    <w:name w:val="Bordered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95">
    <w:name w:val="Bordered - Accent 1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96">
    <w:name w:val="Bordered - Accent 2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97">
    <w:name w:val="Bordered - Accent 3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98">
    <w:name w:val="Bordered - Accent 4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99">
    <w:name w:val="Bordered - Accent 5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00">
    <w:name w:val="Bordered - Accent 6"/>
    <w:basedOn w:val="10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01">
    <w:name w:val="Hyperlink"/>
    <w:uiPriority w:val="99"/>
    <w:unhideWhenUsed/>
    <w:rPr>
      <w:color w:val="0000ff" w:themeColor="hyperlink"/>
      <w:u w:val="single"/>
    </w:rPr>
  </w:style>
  <w:style w:type="paragraph" w:styleId="1002">
    <w:name w:val="footnote text"/>
    <w:basedOn w:val="1019"/>
    <w:link w:val="1003"/>
    <w:uiPriority w:val="99"/>
    <w:semiHidden/>
    <w:unhideWhenUsed/>
    <w:pPr>
      <w:spacing w:after="40" w:line="240" w:lineRule="auto"/>
    </w:pPr>
    <w:rPr>
      <w:sz w:val="18"/>
    </w:rPr>
  </w:style>
  <w:style w:type="character" w:styleId="1003">
    <w:name w:val="Footnote Text Char"/>
    <w:link w:val="1002"/>
    <w:uiPriority w:val="99"/>
    <w:rPr>
      <w:sz w:val="18"/>
    </w:rPr>
  </w:style>
  <w:style w:type="character" w:styleId="1004">
    <w:name w:val="footnote reference"/>
    <w:basedOn w:val="1021"/>
    <w:uiPriority w:val="99"/>
    <w:unhideWhenUsed/>
    <w:rPr>
      <w:vertAlign w:val="superscript"/>
    </w:rPr>
  </w:style>
  <w:style w:type="paragraph" w:styleId="1005">
    <w:name w:val="endnote text"/>
    <w:basedOn w:val="1019"/>
    <w:link w:val="1006"/>
    <w:uiPriority w:val="99"/>
    <w:semiHidden/>
    <w:unhideWhenUsed/>
    <w:pPr>
      <w:spacing w:after="0" w:line="240" w:lineRule="auto"/>
    </w:pPr>
    <w:rPr>
      <w:sz w:val="20"/>
    </w:rPr>
  </w:style>
  <w:style w:type="character" w:styleId="1006">
    <w:name w:val="Endnote Text Char"/>
    <w:link w:val="1005"/>
    <w:uiPriority w:val="99"/>
    <w:rPr>
      <w:sz w:val="20"/>
    </w:rPr>
  </w:style>
  <w:style w:type="character" w:styleId="1007">
    <w:name w:val="endnote reference"/>
    <w:basedOn w:val="1021"/>
    <w:uiPriority w:val="99"/>
    <w:semiHidden/>
    <w:unhideWhenUsed/>
    <w:rPr>
      <w:vertAlign w:val="superscript"/>
    </w:rPr>
  </w:style>
  <w:style w:type="paragraph" w:styleId="1008">
    <w:name w:val="toc 1"/>
    <w:basedOn w:val="1019"/>
    <w:next w:val="1019"/>
    <w:uiPriority w:val="39"/>
    <w:unhideWhenUsed/>
    <w:pPr>
      <w:ind w:left="0" w:right="0" w:firstLine="0"/>
      <w:spacing w:after="57"/>
    </w:pPr>
  </w:style>
  <w:style w:type="paragraph" w:styleId="1009">
    <w:name w:val="toc 2"/>
    <w:basedOn w:val="1019"/>
    <w:next w:val="1019"/>
    <w:uiPriority w:val="39"/>
    <w:unhideWhenUsed/>
    <w:pPr>
      <w:ind w:left="283" w:right="0" w:firstLine="0"/>
      <w:spacing w:after="57"/>
    </w:pPr>
  </w:style>
  <w:style w:type="paragraph" w:styleId="1010">
    <w:name w:val="toc 3"/>
    <w:basedOn w:val="1019"/>
    <w:next w:val="1019"/>
    <w:uiPriority w:val="39"/>
    <w:unhideWhenUsed/>
    <w:pPr>
      <w:ind w:left="567" w:right="0" w:firstLine="0"/>
      <w:spacing w:after="57"/>
    </w:pPr>
  </w:style>
  <w:style w:type="paragraph" w:styleId="1011">
    <w:name w:val="toc 4"/>
    <w:basedOn w:val="1019"/>
    <w:next w:val="1019"/>
    <w:uiPriority w:val="39"/>
    <w:unhideWhenUsed/>
    <w:pPr>
      <w:ind w:left="850" w:right="0" w:firstLine="0"/>
      <w:spacing w:after="57"/>
    </w:pPr>
  </w:style>
  <w:style w:type="paragraph" w:styleId="1012">
    <w:name w:val="toc 5"/>
    <w:basedOn w:val="1019"/>
    <w:next w:val="1019"/>
    <w:uiPriority w:val="39"/>
    <w:unhideWhenUsed/>
    <w:pPr>
      <w:ind w:left="1134" w:right="0" w:firstLine="0"/>
      <w:spacing w:after="57"/>
    </w:pPr>
  </w:style>
  <w:style w:type="paragraph" w:styleId="1013">
    <w:name w:val="toc 6"/>
    <w:basedOn w:val="1019"/>
    <w:next w:val="1019"/>
    <w:uiPriority w:val="39"/>
    <w:unhideWhenUsed/>
    <w:pPr>
      <w:ind w:left="1417" w:right="0" w:firstLine="0"/>
      <w:spacing w:after="57"/>
    </w:pPr>
  </w:style>
  <w:style w:type="paragraph" w:styleId="1014">
    <w:name w:val="toc 7"/>
    <w:basedOn w:val="1019"/>
    <w:next w:val="1019"/>
    <w:uiPriority w:val="39"/>
    <w:unhideWhenUsed/>
    <w:pPr>
      <w:ind w:left="1701" w:right="0" w:firstLine="0"/>
      <w:spacing w:after="57"/>
    </w:pPr>
  </w:style>
  <w:style w:type="paragraph" w:styleId="1015">
    <w:name w:val="toc 8"/>
    <w:basedOn w:val="1019"/>
    <w:next w:val="1019"/>
    <w:uiPriority w:val="39"/>
    <w:unhideWhenUsed/>
    <w:pPr>
      <w:ind w:left="1984" w:right="0" w:firstLine="0"/>
      <w:spacing w:after="57"/>
    </w:pPr>
  </w:style>
  <w:style w:type="paragraph" w:styleId="1016">
    <w:name w:val="toc 9"/>
    <w:basedOn w:val="1019"/>
    <w:next w:val="1019"/>
    <w:uiPriority w:val="39"/>
    <w:unhideWhenUsed/>
    <w:pPr>
      <w:ind w:left="2268" w:right="0" w:firstLine="0"/>
      <w:spacing w:after="57"/>
    </w:pPr>
  </w:style>
  <w:style w:type="paragraph" w:styleId="1017">
    <w:name w:val="TOC Heading"/>
    <w:uiPriority w:val="39"/>
    <w:unhideWhenUsed/>
  </w:style>
  <w:style w:type="paragraph" w:styleId="1018">
    <w:name w:val="table of figures"/>
    <w:basedOn w:val="1019"/>
    <w:next w:val="1019"/>
    <w:uiPriority w:val="99"/>
    <w:unhideWhenUsed/>
    <w:pPr>
      <w:spacing w:after="0" w:afterAutospacing="0"/>
    </w:pPr>
  </w:style>
  <w:style w:type="paragraph" w:styleId="1019" w:default="1">
    <w:name w:val="Normal"/>
    <w:qFormat/>
    <w:pPr>
      <w:spacing w:after="160" w:line="256" w:lineRule="auto"/>
    </w:pPr>
    <w:rPr>
      <w:rFonts w:ascii="Calibri" w:hAnsi="Calibri" w:eastAsia="Calibri" w:cs="Calibri"/>
      <w:lang w:eastAsia="ru-RU"/>
    </w:rPr>
  </w:style>
  <w:style w:type="paragraph" w:styleId="1020">
    <w:name w:val="Heading 1"/>
    <w:basedOn w:val="1019"/>
    <w:next w:val="1019"/>
    <w:link w:val="1024"/>
    <w:qFormat/>
    <w:pPr>
      <w:keepNext/>
      <w:spacing w:before="240" w:after="60" w:line="240" w:lineRule="auto"/>
      <w:outlineLvl w:val="0"/>
    </w:pPr>
    <w:rPr>
      <w:rFonts w:ascii="Arial" w:hAnsi="Arial" w:eastAsia="SimSun" w:cs="Arial"/>
      <w:b/>
      <w:bCs/>
      <w:sz w:val="32"/>
      <w:szCs w:val="32"/>
      <w:lang w:eastAsia="zh-CN"/>
    </w:rPr>
  </w:style>
  <w:style w:type="character" w:styleId="1021" w:default="1">
    <w:name w:val="Default Paragraph Font"/>
    <w:uiPriority w:val="1"/>
    <w:semiHidden/>
    <w:unhideWhenUsed/>
  </w:style>
  <w:style w:type="table" w:styleId="102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23" w:default="1">
    <w:name w:val="No List"/>
    <w:uiPriority w:val="99"/>
    <w:semiHidden/>
    <w:unhideWhenUsed/>
  </w:style>
  <w:style w:type="character" w:styleId="1024" w:customStyle="1">
    <w:name w:val="Заголовок 1 Знак"/>
    <w:basedOn w:val="1021"/>
    <w:link w:val="1020"/>
    <w:rPr>
      <w:rFonts w:ascii="Arial" w:hAnsi="Arial" w:eastAsia="SimSun" w:cs="Arial"/>
      <w:b/>
      <w:bCs/>
      <w:sz w:val="32"/>
      <w:szCs w:val="32"/>
      <w:lang w:eastAsia="zh-CN"/>
    </w:rPr>
  </w:style>
  <w:style w:type="paragraph" w:styleId="1025">
    <w:name w:val="List Paragraph"/>
    <w:basedOn w:val="1019"/>
    <w:uiPriority w:val="34"/>
    <w:qFormat/>
    <w:pPr>
      <w:contextualSpacing/>
      <w:ind w:left="720"/>
    </w:pPr>
  </w:style>
  <w:style w:type="table" w:styleId="1026">
    <w:name w:val="Table Grid"/>
    <w:basedOn w:val="1022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27">
    <w:name w:val="Header"/>
    <w:basedOn w:val="1019"/>
    <w:link w:val="102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28" w:customStyle="1">
    <w:name w:val="Верхний колонтитул Знак"/>
    <w:basedOn w:val="1021"/>
    <w:link w:val="1027"/>
    <w:uiPriority w:val="99"/>
    <w:rPr>
      <w:rFonts w:ascii="Calibri" w:hAnsi="Calibri" w:eastAsia="Calibri" w:cs="Calibri"/>
      <w:lang w:eastAsia="ru-RU"/>
    </w:rPr>
  </w:style>
  <w:style w:type="paragraph" w:styleId="1029">
    <w:name w:val="Footer"/>
    <w:basedOn w:val="1019"/>
    <w:link w:val="103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30" w:customStyle="1">
    <w:name w:val="Нижний колонтитул Знак"/>
    <w:basedOn w:val="1021"/>
    <w:link w:val="1029"/>
    <w:uiPriority w:val="99"/>
    <w:rPr>
      <w:rFonts w:ascii="Calibri" w:hAnsi="Calibri" w:eastAsia="Calibri" w:cs="Calibri"/>
      <w:lang w:eastAsia="ru-RU"/>
    </w:rPr>
  </w:style>
  <w:style w:type="paragraph" w:styleId="1031">
    <w:name w:val="Balloon Text"/>
    <w:basedOn w:val="1019"/>
    <w:link w:val="103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1032" w:customStyle="1">
    <w:name w:val="Текст выноски Знак"/>
    <w:basedOn w:val="1021"/>
    <w:link w:val="1031"/>
    <w:uiPriority w:val="99"/>
    <w:semiHidden/>
    <w:rPr>
      <w:rFonts w:ascii="Tahoma" w:hAnsi="Tahoma" w:eastAsia="Calibri" w:cs="Tahoma"/>
      <w:sz w:val="16"/>
      <w:szCs w:val="16"/>
      <w:lang w:eastAsia="ru-RU"/>
    </w:rPr>
  </w:style>
  <w:style w:type="paragraph" w:styleId="1033">
    <w:name w:val="Normal (Web)"/>
    <w:basedOn w:val="1019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034">
    <w:name w:val="Strong"/>
    <w:basedOn w:val="1021"/>
    <w:uiPriority w:val="22"/>
    <w:qFormat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3.png"/><Relationship Id="rId16" Type="http://schemas.openxmlformats.org/officeDocument/2006/relationships/oleObject" Target="embeddings/oleObject3.bin"/><Relationship Id="rId17" Type="http://schemas.openxmlformats.org/officeDocument/2006/relationships/image" Target="media/image4.png"/><Relationship Id="rId18" Type="http://schemas.openxmlformats.org/officeDocument/2006/relationships/oleObject" Target="embeddings/oleObject4.bin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oleObject" Target="embeddings/oleObject5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oleObject" Target="embeddings/oleObject2.bin"/><Relationship Id="rId5" Type="http://schemas.openxmlformats.org/officeDocument/2006/relationships/hyperlink" Target="https://melang72.ru" TargetMode="External"/><Relationship Id="rId6" Type="http://schemas.openxmlformats.org/officeDocument/2006/relationships/hyperlink" Target="mailto:melange72@yandex.ru" TargetMode="External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Егор Шелудков</cp:lastModifiedBy>
  <cp:revision>5</cp:revision>
  <dcterms:created xsi:type="dcterms:W3CDTF">2024-01-30T07:29:00Z</dcterms:created>
  <dcterms:modified xsi:type="dcterms:W3CDTF">2026-05-22T09:42:29Z</dcterms:modified>
</cp:coreProperties>
</file>