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Пескобетон М-3</w:t>
      </w:r>
      <w:r>
        <w:rPr>
          <w:rFonts w:ascii="Times New Roman" w:hAnsi="Times New Roman" w:cs="Times New Roman"/>
          <w:b/>
          <w:sz w:val="24"/>
          <w:szCs w:val="24"/>
        </w:rPr>
        <w:t xml:space="preserve">00</w:t>
      </w:r>
      <w:r>
        <w:rPr>
          <w:rFonts w:ascii="Times New Roman" w:hAnsi="Times New Roman" w:cs="Times New Roman"/>
          <w:b/>
          <w:sz w:val="24"/>
          <w:szCs w:val="24"/>
        </w:rPr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ПАСПОРТ  КАЧЕСТВА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69"/>
        <w:tblW w:w="0" w:type="auto"/>
        <w:tblLook w:val="04A0" w:firstRow="1" w:lastRow="0" w:firstColumn="1" w:lastColumn="0" w:noHBand="0" w:noVBand="1"/>
      </w:tblPr>
      <w:tblGrid>
        <w:gridCol w:w="3367"/>
        <w:gridCol w:w="639"/>
        <w:gridCol w:w="4451"/>
        <w:gridCol w:w="1963"/>
      </w:tblGrid>
      <w:tr>
        <w:tblPrEx/>
        <w:trPr/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Смесь сухая  строительная цементно-песчаная производится в соответствии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spacing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ГОСТ 31357-2007</w:t>
            </w:r>
            <w:bookmarkStart w:id="0" w:name="_GoBack"/>
            <w:r/>
            <w:bookmarkEnd w:id="0"/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289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Тара: мешок 25 кг.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spacing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/п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spacing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Наименование показателей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spacing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Фактические результаты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580"/>
        </w:trPr>
        <w:tc>
          <w:tcPr>
            <w:tcW w:w="0" w:type="auto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sz w:val="22"/>
                <w:szCs w:val="22"/>
              </w:rPr>
              <w:object w:dxaOrig="8880" w:dyaOrig="1434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0" o:spid="_x0000_s0" type="#_x0000_t75" style="width:109.50pt;height:175.50pt;mso-wrap-distance-left:0.00pt;mso-wrap-distance-top:0.00pt;mso-wrap-distance-right:0.00pt;mso-wrap-distance-bottom:0.00pt;" filled="f" stroked="f">
                  <v:path textboxrect="0,0,0,0"/>
                  <v:imagedata r:id="rId11" o:title=""/>
                </v:shape>
                <o:OLEObject DrawAspect="Content" r:id="rId12" ObjectID="_1525040" ProgID="PBrush" ShapeID="_x0000_i0" Type="Embed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33"/>
        </w:trPr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Влажность по массе, %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44"/>
        </w:trPr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Наибольшая крупность зёрен заполнителя (остаток на сите),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966"/>
        </w:trPr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Марка подвижности,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Пк-2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Водоудерживающая способность, %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Тара: МКР 1 тонна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Прочность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сжатие, Мпа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85"/>
        </w:trPr>
        <w:tc>
          <w:tcPr>
            <w:tcW w:w="0" w:type="auto"/>
            <w:vAlign w:val="center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2850" w:dyaOrig="465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1" o:spid="_x0000_s1" type="#_x0000_t75" style="width:157.50pt;height:222.00pt;mso-wrap-distance-left:0.00pt;mso-wrap-distance-top:0.00pt;mso-wrap-distance-right:0.00pt;mso-wrap-distance-bottom:0.00pt;" filled="f" stroked="f">
                  <v:path textboxrect="0,0,0,0"/>
                  <v:imagedata r:id="rId13" o:title=""/>
                </v:shape>
                <o:OLEObject DrawAspect="Content" r:id="rId14" ObjectID="_1525041" ProgID="PBrush" ShapeID="_x0000_i1" Type="Embed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Расход воды,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/1кг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0,14-0,18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0"/>
        </w:trPr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Адгезия к основанию Мпа, не менее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6"/>
        </w:trPr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Температура применения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"+5 до +30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89"/>
        </w:trPr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Жизнеспособность раствора мин, не менее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99"/>
        </w:trPr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Морозостойкость, циклов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0" w:type="auto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Удельная эффективная активность, естественных радионуклидов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Аэфф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не более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370 Бк/кг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spacing w:line="240" w:lineRule="auto"/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хранения 12 месяцев с даты изготовления, в сухом помещении и плотно закрытой заводской упаковке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</w:tr>
    </w:tbl>
    <w:p>
      <w:pPr>
        <w:spacing w:line="276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СВИДЕТЕЛЬСТВО О ГОСУДАРСТВЕННОЙ РЕГИСТРАЦИИ ПРОДУКЦИИ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69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/>
        <w:tc>
          <w:tcPr>
            <w:tcW w:w="1042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5935980" cy="8618220"/>
                      <wp:effectExtent l="0" t="0" r="7620" b="0"/>
                      <wp:docPr id="3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935980" cy="86182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467.40pt;height:678.60pt;mso-wrap-distance-left:0.00pt;mso-wrap-distance-top:0.00pt;mso-wrap-distance-right:0.00pt;mso-wrap-distance-bottom:0.00pt;" stroked="false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</w:tr>
    </w:tbl>
    <w:p>
      <w:pPr>
        <w:spacing w:after="200" w:line="276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ДЕКЛАРАЦИЯ О СООТВЕТСТВИИ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69"/>
        <w:tblW w:w="0" w:type="auto"/>
        <w:tblLook w:val="04A0" w:firstRow="1" w:lastRow="0" w:firstColumn="1" w:lastColumn="0" w:noHBand="0" w:noVBand="1"/>
      </w:tblPr>
      <w:tblGrid>
        <w:gridCol w:w="10140"/>
      </w:tblGrid>
      <w:tr>
        <w:tblPrEx/>
        <w:trPr>
          <w:trHeight w:val="12771"/>
        </w:trPr>
        <w:tc>
          <w:tcPr>
            <w:tcW w:w="10140" w:type="dxa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6023610" cy="8618220"/>
                      <wp:effectExtent l="0" t="0" r="0" b="0"/>
                      <wp:docPr id="4" name="Рисунок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023610" cy="86182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474.30pt;height:678.60pt;mso-wrap-distance-left:0.00pt;mso-wrap-distance-top:0.00pt;mso-wrap-distance-right:0.00pt;mso-wrap-distance-bottom:0.00pt;" stroked="false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>
              <w:rPr>
                <w:b/>
                <w:color w:val="000000"/>
                <w:sz w:val="24"/>
                <w:szCs w:val="24"/>
              </w:rPr>
            </w:r>
            <w:r>
              <w:rPr>
                <w:b/>
                <w:color w:val="000000"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spacing w:after="200" w:line="276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МЕШКОТАРА 25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 кг.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69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563"/>
        </w:trPr>
        <w:tc>
          <w:tcPr>
            <w:tcW w:w="1042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sz w:val="22"/>
                <w:szCs w:val="22"/>
              </w:rPr>
              <w:object w:dxaOrig="8880" w:dyaOrig="1434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4" o:spid="_x0000_s4" type="#_x0000_t75" style="width:402.00pt;height:649.50pt;mso-wrap-distance-left:0.00pt;mso-wrap-distance-top:0.00pt;mso-wrap-distance-right:0.00pt;mso-wrap-distance-bottom:0.00pt;" filled="f" stroked="f">
                  <v:path textboxrect="0,0,0,0"/>
                  <v:imagedata r:id="rId17" o:title=""/>
                </v:shape>
                <o:OLEObject DrawAspect="Content" r:id="rId18" ObjectID="_1525044" ProgID="PBrush" ShapeID="_x0000_i4" Type="Embed"/>
              </w:object>
            </w:r>
            <w:r>
              <w:rPr>
                <w:rFonts w:ascii="Times New Roman" w:hAnsi="Times New Roman" w:eastAsia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color w:val="000000"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</w:p>
    <w:p>
      <w:pPr>
        <w:spacing w:after="200" w:line="276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ОПИСАНИЕ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69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12241"/>
        </w:trPr>
        <w:tc>
          <w:tcPr>
            <w:tcW w:w="104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Пескобетон, М-300.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pStyle w:val="876"/>
              <w:jc w:val="both"/>
              <w:spacing w:before="0" w:beforeAutospacing="0" w:after="0" w:afterAutospacing="0"/>
              <w:shd w:val="clear" w:color="auto" w:fill="ffffff"/>
            </w:pPr>
            <w:r>
              <w:rPr>
                <w:color w:val="666666"/>
                <w:shd w:val="clear" w:color="auto" w:fill="ffffff"/>
              </w:rPr>
              <w:t xml:space="preserve"> </w:t>
            </w:r>
            <w:r>
              <w:rPr>
                <w:color w:val="666666"/>
                <w:shd w:val="clear" w:color="auto" w:fill="ffffff"/>
              </w:rPr>
              <w:tab/>
            </w:r>
            <w:r>
              <w:rPr>
                <w:shd w:val="clear" w:color="auto" w:fill="ffffff"/>
              </w:rPr>
              <w:t xml:space="preserve">Смесь </w:t>
            </w:r>
            <w:r>
              <w:rPr>
                <w:color w:val="000000"/>
                <w:spacing w:val="2"/>
              </w:rPr>
              <w:t xml:space="preserve">предназначена для выполнения общестроительных работ: устройство высокопрочных износостойких поло</w:t>
            </w:r>
            <w:r>
              <w:rPr>
                <w:color w:val="000000"/>
                <w:spacing w:val="2"/>
              </w:rPr>
              <w:t xml:space="preserve">в в качестве несущего слоя в жилых, офисных, торговых, производственных помещениях; заделка швов, трещин, выбоин, крепление металлических элементов и монтаж железобетонных конструкций; устройство ленточного фундамента в малоэтажном строительстве; создание </w:t>
            </w:r>
            <w:r>
              <w:rPr>
                <w:color w:val="000000"/>
                <w:spacing w:val="2"/>
              </w:rPr>
              <w:t xml:space="preserve">отмосток</w:t>
            </w:r>
            <w:r>
              <w:rPr>
                <w:color w:val="000000"/>
                <w:spacing w:val="2"/>
              </w:rPr>
              <w:t xml:space="preserve">, отливок.</w:t>
            </w:r>
            <w:r>
              <w:rPr>
                <w:color w:val="000000"/>
                <w:spacing w:val="2"/>
              </w:rPr>
              <w:br/>
            </w:r>
            <w:r/>
          </w:p>
          <w:p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Подготовка основы: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3"/>
              </w:numPr>
              <w:jc w:val="both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Поверхность очищается от мусора пыли, а также других инородных включений.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3"/>
              </w:numPr>
              <w:jc w:val="both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Для снижения впитывающей способности основания и устранения возможности образования трещин применяется грунтовка. Материал для грунтования выбирается исходя из условий и типа основания.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3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Для снижения факторов деформации во время твердения раствора, вдоль стен прокладывается демпферная лента.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3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 толщине стяжки более 5 см рекомендуется использовать армированную сетку.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3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Для создания ровной поверхности заданной толщины необходимо использовать маяки, которые монтируются на тот же раствор, из которого заливается стяжка.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jc w:val="both"/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Виды выполняемых работ: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4"/>
              </w:numPr>
              <w:jc w:val="both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Общестроительные работы (заделка выбоин, трещин в стенах, кладка заборов из кирпича и блоков, засыпка пустот, установка столбов)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4"/>
              </w:numPr>
              <w:jc w:val="both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Заливка стяжки в квартирах, жилых домах и нежилых помещениях (офисы,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МОПы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гаражи, площадки.) от низкой до высокой степени проходимости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олько летний состав)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4"/>
              </w:numPr>
              <w:jc w:val="both"/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Предназначена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использования в стяжке при прокладке системы «Теплый пол» (только летний состав)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both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76"/>
              <w:jc w:val="both"/>
              <w:spacing w:before="0" w:beforeAutospacing="0" w:after="240" w:afterAutospacing="0" w:line="276" w:lineRule="auto"/>
              <w:rPr>
                <w:b/>
                <w:color w:val="222222"/>
              </w:rPr>
            </w:pPr>
            <w:r>
              <w:rPr>
                <w:b/>
                <w:color w:val="222222"/>
              </w:rPr>
              <w:t xml:space="preserve">Приготовление растворной смеси:</w:t>
            </w:r>
            <w:r>
              <w:rPr>
                <w:b/>
                <w:color w:val="222222"/>
              </w:rPr>
            </w:r>
            <w:r>
              <w:rPr>
                <w:b/>
                <w:color w:val="222222"/>
              </w:rPr>
            </w:r>
          </w:p>
          <w:p>
            <w:pPr>
              <w:pStyle w:val="868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приготовления используйте чистые емкости и инструменты.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Грязный инструмент сократит жизнь готового раствора.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76"/>
              <w:numPr>
                <w:ilvl w:val="0"/>
                <w:numId w:val="5"/>
              </w:numPr>
              <w:jc w:val="both"/>
              <w:spacing w:before="0" w:beforeAutospacing="0" w:after="0" w:afterAutospacing="0"/>
              <w:rPr>
                <w:b/>
              </w:rPr>
            </w:pPr>
            <w:r>
              <w:rPr>
                <w:shd w:val="clear" w:color="auto" w:fill="ffffff"/>
              </w:rPr>
              <w:t xml:space="preserve">Для приготовления растворной смеси в чистую ёмкость с отмеренным количеством воды комнатной температуры добавить соответствующее количество сухой смеси, указанной на упаковке.</w:t>
            </w:r>
            <w:r>
              <w:rPr>
                <w:b/>
              </w:rPr>
            </w:r>
            <w:r>
              <w:rPr>
                <w:b/>
              </w:rPr>
            </w:r>
          </w:p>
          <w:p>
            <w:pPr>
              <w:pStyle w:val="868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Сухую смесь постепенно добавляют в воду при перемешивании, добиваясь получения однородной консистенции;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Перемешивание рекомендуется осуществлять миксером или дрелью с насадкой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до получения однородной пастообразной массы.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Приготовленный раствор выдержать в течение 5 минут, затем снова тщательно перемешать.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5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Готовая смесь сохраняет свои свойства в течение 60 минут (н</w:t>
            </w:r>
            <w:r>
              <w:rPr>
                <w:rFonts w:ascii="Times New Roman" w:hAnsi="Times New Roman" w:cs="Times New Roman"/>
                <w:color w:val="0a0a0a"/>
                <w:sz w:val="24"/>
                <w:szCs w:val="24"/>
                <w:shd w:val="clear" w:color="auto" w:fill="ffffff"/>
              </w:rPr>
              <w:t xml:space="preserve">аличие сквозняков и повышенная температура снижают время применения);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5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a0a0a"/>
                <w:sz w:val="24"/>
                <w:szCs w:val="24"/>
                <w:shd w:val="clear" w:color="auto" w:fill="ffffff"/>
              </w:rPr>
              <w:t xml:space="preserve">В процессе производства работ следует периодически перемешивать растворную смесь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5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Минимальная толщина стяжки в системе «теплый пол» зависит от высоты её конструктивных элементов (слой толщиной 40 мм должен быть обеспечен без учета толщины кабеля или труб). Требуется армирование сеткой.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76"/>
              <w:jc w:val="both"/>
              <w:spacing w:before="0" w:beforeAutospacing="0" w:after="240" w:afterAutospacing="0"/>
              <w:rPr>
                <w:b/>
                <w:color w:val="222222"/>
              </w:rPr>
            </w:pPr>
            <w:r>
              <w:rPr>
                <w:b/>
                <w:color w:val="222222"/>
              </w:rPr>
              <w:t xml:space="preserve">Порядок работы:</w:t>
            </w:r>
            <w:r>
              <w:rPr>
                <w:b/>
                <w:color w:val="222222"/>
              </w:rPr>
            </w:r>
            <w:r>
              <w:rPr>
                <w:b/>
                <w:color w:val="222222"/>
              </w:rPr>
            </w:r>
          </w:p>
          <w:p>
            <w:pPr>
              <w:pStyle w:val="876"/>
              <w:numPr>
                <w:ilvl w:val="0"/>
                <w:numId w:val="6"/>
              </w:numPr>
              <w:jc w:val="both"/>
              <w:spacing w:before="0" w:beforeAutospacing="0" w:after="0" w:afterAutospacing="0"/>
              <w:rPr>
                <w:b/>
              </w:rPr>
            </w:pPr>
            <w:r>
              <w:rPr>
                <w:shd w:val="clear" w:color="auto" w:fill="ffffff"/>
              </w:rPr>
              <w:t xml:space="preserve">В процессе работы и в течение 2-х дней температура основы должна быть от +5С до +30С.</w:t>
            </w:r>
            <w:r>
              <w:rPr>
                <w:b/>
              </w:rPr>
            </w:r>
            <w:r>
              <w:rPr>
                <w:b/>
              </w:rPr>
            </w:r>
          </w:p>
          <w:p>
            <w:pPr>
              <w:pStyle w:val="876"/>
              <w:numPr>
                <w:ilvl w:val="0"/>
                <w:numId w:val="6"/>
              </w:numPr>
              <w:jc w:val="both"/>
              <w:spacing w:before="0" w:beforeAutospacing="0" w:after="0" w:afterAutospacing="0"/>
              <w:rPr>
                <w:b/>
              </w:rPr>
            </w:pPr>
            <w:r>
              <w:rPr>
                <w:shd w:val="clear" w:color="auto" w:fill="ffffff"/>
              </w:rPr>
              <w:t xml:space="preserve">Работы необходимо проводить в резиновых перчатках. Для защиты дыхательных путей применять респиратор или марлевую повязку. При попадании в глаза немедленно промыть большим количеством воды.</w:t>
            </w:r>
            <w:r>
              <w:rPr>
                <w:b/>
              </w:rPr>
            </w:r>
            <w:r>
              <w:rPr>
                <w:b/>
              </w:rPr>
            </w:r>
          </w:p>
          <w:p>
            <w:pPr>
              <w:pStyle w:val="868"/>
              <w:numPr>
                <w:ilvl w:val="0"/>
                <w:numId w:val="6"/>
              </w:numPr>
              <w:jc w:val="both"/>
              <w:spacing w:after="0" w:line="240" w:lineRule="auto"/>
              <w:shd w:val="clear" w:color="auto" w:fill="ffffff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Раствор равномерно нанести на предварительно подготовленную поверхность слоем необходимой толщины, разгладить и выгнать лишний воздух с не застывшего ещё бетонного раствора вибрированием или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штыкованием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 по всей площади основания.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6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заливке стяжки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раствор заливается равномерно между маяками, после чего осуществляется выравнивание при помощи правила.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68"/>
              <w:numPr>
                <w:ilvl w:val="0"/>
                <w:numId w:val="6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Через 4–8 часов необходимо удалить маяки и произвести заделку отверстий.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876"/>
              <w:jc w:val="both"/>
              <w:spacing w:before="0" w:beforeAutospacing="0" w:after="0" w:afterAutospacing="0"/>
              <w:rPr>
                <w:b/>
                <w:color w:val="222222"/>
              </w:rPr>
            </w:pPr>
            <w:r>
              <w:rPr>
                <w:b/>
                <w:color w:val="222222"/>
              </w:rPr>
            </w:r>
            <w:r>
              <w:rPr>
                <w:b/>
                <w:color w:val="222222"/>
              </w:rPr>
            </w:r>
            <w:r>
              <w:rPr>
                <w:b/>
                <w:color w:val="222222"/>
              </w:rPr>
            </w:r>
          </w:p>
          <w:p>
            <w:pPr>
              <w:pStyle w:val="876"/>
              <w:jc w:val="both"/>
              <w:spacing w:before="0" w:beforeAutospacing="0" w:after="225" w:afterAutospacing="0"/>
              <w:rPr>
                <w:b/>
                <w:color w:val="222222"/>
              </w:rPr>
            </w:pPr>
            <w:r>
              <w:rPr>
                <w:b/>
                <w:color w:val="222222"/>
              </w:rPr>
              <w:t xml:space="preserve">Условия транспортирования и хранения:</w:t>
            </w:r>
            <w:r>
              <w:rPr>
                <w:b/>
                <w:color w:val="222222"/>
              </w:rPr>
            </w:r>
            <w:r>
              <w:rPr>
                <w:b/>
                <w:color w:val="222222"/>
              </w:rPr>
            </w:r>
          </w:p>
          <w:p>
            <w:pPr>
              <w:pStyle w:val="876"/>
              <w:numPr>
                <w:ilvl w:val="0"/>
                <w:numId w:val="7"/>
              </w:numPr>
              <w:jc w:val="both"/>
              <w:spacing w:before="0" w:beforeAutospacing="0" w:after="0" w:afterAutospacing="0"/>
              <w:rPr>
                <w:color w:val="222222"/>
              </w:rPr>
            </w:pPr>
            <w:r>
              <w:rPr>
                <w:color w:val="222222"/>
              </w:rPr>
              <w:t xml:space="preserve">Смесь транспортировать в соответствии с правилами перевозки груз</w:t>
            </w:r>
            <w:r>
              <w:rPr>
                <w:color w:val="222222"/>
              </w:rPr>
              <w:t xml:space="preserve">ов. Мешки с сухой смесью хранить в крытых сухих помещениях в условиях, обеспечивающих сохранность упаковки и предохранение от увлажнения. Срок хранения в таре изготовителя – 6 месяцев со дня изготовления при соблюдении условий транспортирования и хранения.</w:t>
            </w:r>
            <w:r>
              <w:rPr>
                <w:color w:val="222222"/>
              </w:rPr>
            </w:r>
            <w:r>
              <w:rPr>
                <w:color w:val="222222"/>
              </w:rPr>
            </w:r>
          </w:p>
          <w:p>
            <w:pPr>
              <w:pStyle w:val="876"/>
              <w:jc w:val="both"/>
              <w:spacing w:before="0" w:beforeAutospacing="0" w:after="0" w:afterAutospacing="0"/>
              <w:rPr>
                <w:color w:val="222222"/>
              </w:rPr>
            </w:pPr>
            <w:r>
              <w:rPr>
                <w:color w:val="222222"/>
              </w:rPr>
            </w:r>
            <w:r>
              <w:rPr>
                <w:color w:val="222222"/>
              </w:rPr>
            </w:r>
            <w:r>
              <w:rPr>
                <w:color w:val="222222"/>
              </w:rPr>
            </w:r>
          </w:p>
          <w:tbl>
            <w:tblPr>
              <w:tblStyle w:val="869"/>
              <w:tblpPr w:horzAnchor="text" w:tblpXSpec="left" w:vertAnchor="text" w:tblpY="1" w:leftFromText="180" w:topFromText="0" w:rightFromText="180" w:bottomFromText="0"/>
              <w:tblW w:w="0" w:type="auto"/>
              <w:tblLook w:val="04A0" w:firstRow="1" w:lastRow="0" w:firstColumn="1" w:lastColumn="0" w:noHBand="0" w:noVBand="1"/>
            </w:tblPr>
            <w:tblGrid>
              <w:gridCol w:w="5173"/>
              <w:gridCol w:w="1336"/>
            </w:tblGrid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Наибольшая крупность зерен заполнителя, </w:t>
                  </w:r>
                  <w:r>
                    <w:rPr>
                      <w:color w:val="222222"/>
                      <w:lang w:eastAsia="en-US"/>
                    </w:rPr>
                    <w:t xml:space="preserve">мм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5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Марка прочности на сжатие МПа, не менее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30 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lang w:eastAsia="en-US"/>
                    </w:rPr>
                    <w:t xml:space="preserve">Адгезия к основанию МПа, не менее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0,3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lang w:eastAsia="en-US"/>
                    </w:rPr>
                    <w:t xml:space="preserve">Расход воды на 1 кг сухой смеси, литров:</w:t>
                  </w:r>
                  <w:r>
                    <w:rPr>
                      <w:lang w:eastAsia="en-US"/>
                    </w:rPr>
                    <w:tab/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0,14-0,18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 xml:space="preserve">Расход воды на 25 кг сухой смеси, литров:</w:t>
                  </w:r>
                  <w:r>
                    <w:rPr>
                      <w:lang w:eastAsia="en-US"/>
                    </w:rPr>
                  </w:r>
                  <w:r>
                    <w:rPr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3,5-4,5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Жизнеспособность раствора мин., не менее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60 мин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Подвижность раствора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76"/>
                    <w:jc w:val="center"/>
                    <w:spacing w:before="0" w:beforeAutospacing="0" w:after="0" w:afterAutospacing="0"/>
                    <w:rPr>
                      <w:color w:val="222222"/>
                      <w:lang w:eastAsia="en-US"/>
                    </w:rPr>
                  </w:pPr>
                  <w:r>
                    <w:rPr>
                      <w:color w:val="222222"/>
                      <w:lang w:eastAsia="en-US"/>
                    </w:rPr>
                    <w:t xml:space="preserve">Пк-2</w:t>
                  </w:r>
                  <w:r>
                    <w:rPr>
                      <w:color w:val="222222"/>
                      <w:lang w:eastAsia="en-US"/>
                    </w:rPr>
                  </w:r>
                  <w:r>
                    <w:rPr>
                      <w:color w:val="222222"/>
                      <w:lang w:eastAsia="en-US"/>
                    </w:rPr>
                  </w:r>
                </w:p>
              </w:tc>
            </w:tr>
          </w:tbl>
          <w:p>
            <w:pPr>
              <w:pStyle w:val="876"/>
              <w:ind w:left="720"/>
              <w:jc w:val="both"/>
              <w:spacing w:before="0" w:beforeAutospacing="0" w:after="225" w:afterAutospacing="0"/>
              <w:rPr>
                <w:color w:val="2222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227330</wp:posOffset>
                      </wp:positionV>
                      <wp:extent cx="466725" cy="400050"/>
                      <wp:effectExtent l="8255" t="10160" r="10795" b="8890"/>
                      <wp:wrapNone/>
                      <wp:docPr id="6" name="Группа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466725" cy="400050"/>
                                <a:chOff x="7875" y="990"/>
                                <a:chExt cx="705" cy="585"/>
                              </a:xfrm>
                            </wpg:grpSpPr>
                            <wps:wsp>
                              <wps:cNvPr id="0" name="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5" y="990"/>
                                  <a:ext cx="705" cy="5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ln w="635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GrpSpPr/>
                              <wpg:grpSpPr bwMode="auto">
                                <a:xfrm>
                                  <a:off x="8085" y="1095"/>
                                  <a:ext cx="330" cy="360"/>
                                  <a:chOff x="8085" y="1095"/>
                                  <a:chExt cx="330" cy="360"/>
                                </a:xfrm>
                              </wpg:grpSpPr>
                              <wps:wsp>
                                <wps:cNvPr id="1" name=""/>
                                <wps:cNvSpPr/>
                                <wps:spPr bwMode="auto">
                                  <a:xfrm>
                                    <a:off x="8085" y="1275"/>
                                    <a:ext cx="120" cy="18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" name=""/>
                                <wps:cNvSpPr/>
                                <wps:spPr bwMode="auto">
                                  <a:xfrm flipV="1">
                                    <a:off x="8190" y="1095"/>
                                    <a:ext cx="225" cy="36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5" o:spid="_x0000_s0000" style="position:absolute;z-index:251659264;o:allowoverlap:true;o:allowincell:true;mso-position-horizontal-relative:text;margin-left:-5.60pt;mso-position-horizontal:absolute;mso-position-vertical-relative:text;margin-top:17.90pt;mso-position-vertical:absolute;width:36.75pt;height:31.50pt;mso-wrap-distance-left:9.00pt;mso-wrap-distance-top:0.00pt;mso-wrap-distance-right:9.00pt;mso-wrap-distance-bottom:0.00pt;" coordorigin="78,9" coordsize="7,5">
                      <v:shape id="shape 6" o:spid="_x0000_s6" o:spt="1" type="#_x0000_t1" style="position:absolute;left:78;top:9;width:7;height:5;visibility:visible;" fillcolor="#FFFFFF" strokecolor="#000000" strokeweight="0.50pt"/>
                      <v:group id="group 7" o:spid="_x0000_s0000" style="position:absolute;left:80;top:10;width:3;height:3;" coordorigin="80,10" coordsize="3,3">
                        <v:shape id="shape 8" o:spid="_x0000_s8" o:spt="32" type="#_x0000_t32" style="position:absolute;left:80;top:12;width:1;height:1;visibility:visible;" filled="f" strokecolor="#000000" strokeweight="3.00pt"/>
                        <v:shape id="shape 9" o:spid="_x0000_s9" o:spt="32" type="#_x0000_t32" style="position:absolute;left:81;top:10;width:2;height:3;flip:y;visibility:visible;" filled="f" strokecolor="#000000" strokeweight="3.00pt"/>
                      </v:group>
                    </v:group>
                  </w:pict>
                </mc:Fallback>
              </mc:AlternateContent>
            </w:r>
            <w:r>
              <w:rPr>
                <w:color w:val="222222"/>
              </w:rPr>
              <w:t xml:space="preserve">При наличии в окошке </w:t>
            </w:r>
            <w:r>
              <w:rPr>
                <w:color w:val="222222"/>
              </w:rPr>
            </w:r>
            <w:r>
              <w:rPr>
                <w:color w:val="222222"/>
              </w:rPr>
            </w:r>
          </w:p>
          <w:p>
            <w:pPr>
              <w:pStyle w:val="876"/>
              <w:ind w:left="720"/>
              <w:jc w:val="both"/>
              <w:spacing w:before="0" w:beforeAutospacing="0" w:after="225" w:afterAutospacing="0"/>
              <w:tabs>
                <w:tab w:val="left" w:pos="1140" w:leader="none"/>
              </w:tabs>
              <w:rPr>
                <w:color w:val="222222"/>
              </w:rPr>
            </w:pPr>
            <w:r>
              <w:rPr>
                <w:color w:val="222222"/>
              </w:rPr>
              <w:tab/>
            </w:r>
            <w:r>
              <w:rPr>
                <w:color w:val="222222"/>
              </w:rPr>
            </w:r>
            <w:r>
              <w:rPr>
                <w:color w:val="222222"/>
              </w:rPr>
            </w:r>
          </w:p>
          <w:p>
            <w:pPr>
              <w:pStyle w:val="876"/>
              <w:ind w:left="720"/>
              <w:jc w:val="both"/>
              <w:spacing w:before="0" w:beforeAutospacing="0" w:after="0" w:afterAutospacing="0"/>
              <w:rPr>
                <w:color w:val="222222"/>
              </w:rPr>
            </w:pPr>
            <w:r>
              <w:rPr>
                <w:color w:val="222222"/>
              </w:rPr>
              <w:t xml:space="preserve">Состав является зимним</w:t>
            </w:r>
            <w:r>
              <w:rPr>
                <w:color w:val="222222"/>
              </w:rPr>
            </w:r>
            <w:r>
              <w:rPr>
                <w:color w:val="222222"/>
              </w:rPr>
            </w:r>
          </w:p>
          <w:p>
            <w:pPr>
              <w:pStyle w:val="876"/>
              <w:ind w:left="720"/>
              <w:jc w:val="both"/>
              <w:spacing w:before="0" w:beforeAutospacing="0" w:after="0" w:afterAutospacing="0"/>
              <w:rPr>
                <w:color w:val="2222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128270</wp:posOffset>
                      </wp:positionV>
                      <wp:extent cx="457200" cy="390525"/>
                      <wp:effectExtent l="8255" t="8255" r="10795" b="10795"/>
                      <wp:wrapNone/>
                      <wp:docPr id="7" name="Прямоугольник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10" o:spid="_x0000_s10" o:spt="1" type="#_x0000_t1" style="position:absolute;z-index:251660288;o:allowoverlap:true;o:allowincell:true;mso-position-horizontal-relative:text;margin-left:-4.85pt;mso-position-horizontal:absolute;mso-position-vertical-relative:text;margin-top:10.10pt;mso-position-vertical:absolute;width:36.00pt;height:30.75pt;mso-wrap-distance-left:9.00pt;mso-wrap-distance-top:0.00pt;mso-wrap-distance-right:9.00pt;mso-wrap-distance-bottom:0.00pt;visibility:visible;" fillcolor="#FFFFFF" strokecolor="#000000" strokeweight="0.75pt"/>
                  </w:pict>
                </mc:Fallback>
              </mc:AlternateContent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</w:r>
            <w:r>
              <w:rPr>
                <w:color w:val="222222"/>
              </w:rPr>
              <w:tab/>
              <w:t xml:space="preserve">Использовать до – 15 </w:t>
            </w:r>
            <w:r>
              <w:rPr>
                <w:color w:val="222222"/>
                <w:vertAlign w:val="superscript"/>
              </w:rPr>
              <w:t xml:space="preserve">о</w:t>
            </w:r>
            <w:r>
              <w:rPr>
                <w:color w:val="222222"/>
              </w:rPr>
              <w:t xml:space="preserve">С</w:t>
            </w:r>
            <w:r>
              <w:rPr>
                <w:color w:val="222222"/>
              </w:rPr>
            </w:r>
            <w:r>
              <w:rPr>
                <w:color w:val="222222"/>
              </w:rPr>
            </w:r>
          </w:p>
          <w:p>
            <w:pPr>
              <w:pStyle w:val="876"/>
              <w:ind w:left="720"/>
              <w:jc w:val="both"/>
              <w:spacing w:before="0" w:beforeAutospacing="0" w:after="0" w:afterAutospacing="0"/>
              <w:rPr>
                <w:color w:val="222222"/>
              </w:rPr>
            </w:pPr>
            <w:r>
              <w:rPr>
                <w:color w:val="222222"/>
              </w:rPr>
              <w:t xml:space="preserve">Затворять Теплой Водой 50-70 </w:t>
            </w:r>
            <w:r>
              <w:rPr>
                <w:color w:val="222222"/>
                <w:vertAlign w:val="superscript"/>
              </w:rPr>
              <w:t xml:space="preserve">о</w:t>
            </w:r>
            <w:r>
              <w:rPr>
                <w:color w:val="222222"/>
              </w:rPr>
              <w:t xml:space="preserve">С</w:t>
            </w:r>
            <w:r>
              <w:rPr>
                <w:color w:val="222222"/>
              </w:rPr>
            </w:r>
            <w:r>
              <w:rPr>
                <w:color w:val="222222"/>
              </w:rPr>
            </w:r>
          </w:p>
          <w:p>
            <w:pPr>
              <w:pStyle w:val="876"/>
              <w:jc w:val="both"/>
              <w:spacing w:before="0" w:beforeAutospacing="0" w:after="0" w:afterAutospacing="0"/>
              <w:rPr>
                <w:color w:val="262626"/>
                <w:sz w:val="22"/>
                <w:szCs w:val="22"/>
              </w:rPr>
            </w:pPr>
            <w:r>
              <w:rPr>
                <w:color w:val="262626"/>
                <w:sz w:val="22"/>
                <w:szCs w:val="22"/>
              </w:rPr>
            </w:r>
            <w:r>
              <w:rPr>
                <w:color w:val="262626"/>
                <w:sz w:val="22"/>
                <w:szCs w:val="22"/>
              </w:rPr>
            </w:r>
            <w:r>
              <w:rPr>
                <w:color w:val="262626"/>
                <w:sz w:val="22"/>
                <w:szCs w:val="22"/>
              </w:rPr>
            </w:r>
          </w:p>
        </w:tc>
      </w:tr>
    </w:tbl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</w:r>
      <w:r>
        <w:rPr>
          <w:rFonts w:ascii="Times New Roman" w:hAnsi="Times New Roman" w:cs="Times New Roman"/>
          <w:b/>
        </w:rPr>
      </w:r>
      <w:r>
        <w:rPr>
          <w:rFonts w:ascii="Times New Roman" w:hAnsi="Times New Roman" w:cs="Times New Roman"/>
          <w:b/>
        </w:rPr>
      </w:r>
    </w:p>
    <w:p>
      <w:pPr>
        <w:rPr>
          <w:rFonts w:ascii="Times New Roman" w:hAnsi="Times New Roman" w:eastAsia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</w:rPr>
      </w:r>
      <w:r>
        <w:rPr>
          <w:rFonts w:ascii="Times New Roman" w:hAnsi="Times New Roman" w:eastAsia="Times New Roman" w:cs="Times New Roman"/>
          <w:color w:val="000000"/>
        </w:rPr>
      </w:r>
      <w:r>
        <w:rPr>
          <w:rFonts w:ascii="Times New Roman" w:hAnsi="Times New Roman" w:eastAsia="Times New Roman" w:cs="Times New Roman"/>
          <w:color w:val="000000"/>
        </w:rPr>
      </w:r>
    </w:p>
    <w:p>
      <w:r/>
      <w:r/>
    </w:p>
    <w:sectPr>
      <w:headerReference w:type="default" r:id="rId9"/>
      <w:footerReference w:type="default" r:id="rId10"/>
      <w:footnotePr/>
      <w:endnotePr/>
      <w:type w:val="nextPage"/>
      <w:pgSz w:w="11906" w:h="16838" w:orient="portrait"/>
      <w:pgMar w:top="142" w:right="851" w:bottom="567" w:left="851" w:header="137" w:footer="124" w:gutter="0"/>
      <w:pgNumType w:start="1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Courier New">
    <w:panose1 w:val="02070309020205020404"/>
  </w:font>
  <w:font w:name="Symbol">
    <w:panose1 w:val="05010000000000000000"/>
  </w:font>
  <w:font w:name="Tahoma">
    <w:panose1 w:val="020B0604030504040204"/>
  </w:font>
  <w:font w:name="Times New Roman">
    <w:panose1 w:val="02020603050405020304"/>
  </w:font>
  <w:font w:name="SimSun">
    <w:panose1 w:val="02020603020101020101"/>
  </w:font>
  <w:font w:name="Calibri">
    <w:panose1 w:val="020F0502020204030204"/>
  </w:font>
  <w:font w:name="Arial">
    <w:panose1 w:val="020B06040202020202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2"/>
      <w:tabs>
        <w:tab w:val="left" w:pos="1740" w:leader="none"/>
        <w:tab w:val="right" w:pos="10205" w:leader="none"/>
      </w:tabs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0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8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8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6"/>
  </w:num>
  <w:num w:numId="5">
    <w:abstractNumId w:val="4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89">
    <w:name w:val="Heading 1 Char"/>
    <w:basedOn w:val="864"/>
    <w:link w:val="863"/>
    <w:uiPriority w:val="9"/>
    <w:rPr>
      <w:rFonts w:ascii="Arial" w:hAnsi="Arial" w:eastAsia="Arial" w:cs="Arial"/>
      <w:sz w:val="40"/>
      <w:szCs w:val="40"/>
    </w:rPr>
  </w:style>
  <w:style w:type="paragraph" w:styleId="690">
    <w:name w:val="Heading 2"/>
    <w:basedOn w:val="862"/>
    <w:next w:val="862"/>
    <w:link w:val="691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91">
    <w:name w:val="Heading 2 Char"/>
    <w:basedOn w:val="864"/>
    <w:link w:val="690"/>
    <w:uiPriority w:val="9"/>
    <w:rPr>
      <w:rFonts w:ascii="Arial" w:hAnsi="Arial" w:eastAsia="Arial" w:cs="Arial"/>
      <w:sz w:val="34"/>
    </w:rPr>
  </w:style>
  <w:style w:type="paragraph" w:styleId="692">
    <w:name w:val="Heading 3"/>
    <w:basedOn w:val="862"/>
    <w:next w:val="862"/>
    <w:link w:val="69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93">
    <w:name w:val="Heading 3 Char"/>
    <w:basedOn w:val="864"/>
    <w:link w:val="692"/>
    <w:uiPriority w:val="9"/>
    <w:rPr>
      <w:rFonts w:ascii="Arial" w:hAnsi="Arial" w:eastAsia="Arial" w:cs="Arial"/>
      <w:sz w:val="30"/>
      <w:szCs w:val="30"/>
    </w:rPr>
  </w:style>
  <w:style w:type="paragraph" w:styleId="694">
    <w:name w:val="Heading 4"/>
    <w:basedOn w:val="862"/>
    <w:next w:val="862"/>
    <w:link w:val="695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95">
    <w:name w:val="Heading 4 Char"/>
    <w:basedOn w:val="864"/>
    <w:link w:val="694"/>
    <w:uiPriority w:val="9"/>
    <w:rPr>
      <w:rFonts w:ascii="Arial" w:hAnsi="Arial" w:eastAsia="Arial" w:cs="Arial"/>
      <w:b/>
      <w:bCs/>
      <w:sz w:val="26"/>
      <w:szCs w:val="26"/>
    </w:rPr>
  </w:style>
  <w:style w:type="paragraph" w:styleId="696">
    <w:name w:val="Heading 5"/>
    <w:basedOn w:val="862"/>
    <w:next w:val="862"/>
    <w:link w:val="697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97">
    <w:name w:val="Heading 5 Char"/>
    <w:basedOn w:val="864"/>
    <w:link w:val="696"/>
    <w:uiPriority w:val="9"/>
    <w:rPr>
      <w:rFonts w:ascii="Arial" w:hAnsi="Arial" w:eastAsia="Arial" w:cs="Arial"/>
      <w:b/>
      <w:bCs/>
      <w:sz w:val="24"/>
      <w:szCs w:val="24"/>
    </w:rPr>
  </w:style>
  <w:style w:type="paragraph" w:styleId="698">
    <w:name w:val="Heading 6"/>
    <w:basedOn w:val="862"/>
    <w:next w:val="862"/>
    <w:link w:val="69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99">
    <w:name w:val="Heading 6 Char"/>
    <w:basedOn w:val="864"/>
    <w:link w:val="698"/>
    <w:uiPriority w:val="9"/>
    <w:rPr>
      <w:rFonts w:ascii="Arial" w:hAnsi="Arial" w:eastAsia="Arial" w:cs="Arial"/>
      <w:b/>
      <w:bCs/>
      <w:sz w:val="22"/>
      <w:szCs w:val="22"/>
    </w:rPr>
  </w:style>
  <w:style w:type="paragraph" w:styleId="700">
    <w:name w:val="Heading 7"/>
    <w:basedOn w:val="862"/>
    <w:next w:val="862"/>
    <w:link w:val="701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01">
    <w:name w:val="Heading 7 Char"/>
    <w:basedOn w:val="864"/>
    <w:link w:val="70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02">
    <w:name w:val="Heading 8"/>
    <w:basedOn w:val="862"/>
    <w:next w:val="862"/>
    <w:link w:val="703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03">
    <w:name w:val="Heading 8 Char"/>
    <w:basedOn w:val="864"/>
    <w:link w:val="702"/>
    <w:uiPriority w:val="9"/>
    <w:rPr>
      <w:rFonts w:ascii="Arial" w:hAnsi="Arial" w:eastAsia="Arial" w:cs="Arial"/>
      <w:i/>
      <w:iCs/>
      <w:sz w:val="22"/>
      <w:szCs w:val="22"/>
    </w:rPr>
  </w:style>
  <w:style w:type="paragraph" w:styleId="704">
    <w:name w:val="Heading 9"/>
    <w:basedOn w:val="862"/>
    <w:next w:val="862"/>
    <w:link w:val="705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05">
    <w:name w:val="Heading 9 Char"/>
    <w:basedOn w:val="864"/>
    <w:link w:val="704"/>
    <w:uiPriority w:val="9"/>
    <w:rPr>
      <w:rFonts w:ascii="Arial" w:hAnsi="Arial" w:eastAsia="Arial" w:cs="Arial"/>
      <w:i/>
      <w:iCs/>
      <w:sz w:val="21"/>
      <w:szCs w:val="21"/>
    </w:rPr>
  </w:style>
  <w:style w:type="paragraph" w:styleId="706">
    <w:name w:val="No Spacing"/>
    <w:uiPriority w:val="1"/>
    <w:qFormat/>
    <w:pPr>
      <w:spacing w:before="0" w:after="0" w:line="240" w:lineRule="auto"/>
    </w:pPr>
  </w:style>
  <w:style w:type="paragraph" w:styleId="707">
    <w:name w:val="Title"/>
    <w:basedOn w:val="862"/>
    <w:next w:val="862"/>
    <w:link w:val="708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08">
    <w:name w:val="Title Char"/>
    <w:basedOn w:val="864"/>
    <w:link w:val="707"/>
    <w:uiPriority w:val="10"/>
    <w:rPr>
      <w:sz w:val="48"/>
      <w:szCs w:val="48"/>
    </w:rPr>
  </w:style>
  <w:style w:type="paragraph" w:styleId="709">
    <w:name w:val="Subtitle"/>
    <w:basedOn w:val="862"/>
    <w:next w:val="862"/>
    <w:link w:val="710"/>
    <w:uiPriority w:val="11"/>
    <w:qFormat/>
    <w:pPr>
      <w:spacing w:before="200" w:after="200"/>
    </w:pPr>
    <w:rPr>
      <w:sz w:val="24"/>
      <w:szCs w:val="24"/>
    </w:rPr>
  </w:style>
  <w:style w:type="character" w:styleId="710">
    <w:name w:val="Subtitle Char"/>
    <w:basedOn w:val="864"/>
    <w:link w:val="709"/>
    <w:uiPriority w:val="11"/>
    <w:rPr>
      <w:sz w:val="24"/>
      <w:szCs w:val="24"/>
    </w:rPr>
  </w:style>
  <w:style w:type="paragraph" w:styleId="711">
    <w:name w:val="Quote"/>
    <w:basedOn w:val="862"/>
    <w:next w:val="862"/>
    <w:link w:val="712"/>
    <w:uiPriority w:val="29"/>
    <w:qFormat/>
    <w:pPr>
      <w:ind w:left="720" w:right="720"/>
    </w:pPr>
    <w:rPr>
      <w:i/>
    </w:rPr>
  </w:style>
  <w:style w:type="character" w:styleId="712">
    <w:name w:val="Quote Char"/>
    <w:link w:val="711"/>
    <w:uiPriority w:val="29"/>
    <w:rPr>
      <w:i/>
    </w:rPr>
  </w:style>
  <w:style w:type="paragraph" w:styleId="713">
    <w:name w:val="Intense Quote"/>
    <w:basedOn w:val="862"/>
    <w:next w:val="862"/>
    <w:link w:val="714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14">
    <w:name w:val="Intense Quote Char"/>
    <w:link w:val="713"/>
    <w:uiPriority w:val="30"/>
    <w:rPr>
      <w:i/>
    </w:rPr>
  </w:style>
  <w:style w:type="character" w:styleId="715">
    <w:name w:val="Header Char"/>
    <w:basedOn w:val="864"/>
    <w:link w:val="870"/>
    <w:uiPriority w:val="99"/>
  </w:style>
  <w:style w:type="character" w:styleId="716">
    <w:name w:val="Footer Char"/>
    <w:basedOn w:val="864"/>
    <w:link w:val="872"/>
    <w:uiPriority w:val="99"/>
  </w:style>
  <w:style w:type="paragraph" w:styleId="717">
    <w:name w:val="Caption"/>
    <w:basedOn w:val="862"/>
    <w:next w:val="862"/>
    <w:link w:val="71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18">
    <w:name w:val="Caption Char"/>
    <w:basedOn w:val="864"/>
    <w:link w:val="717"/>
    <w:uiPriority w:val="35"/>
    <w:rPr>
      <w:b/>
      <w:bCs/>
      <w:color w:val="4f81bd" w:themeColor="accent1"/>
      <w:sz w:val="18"/>
      <w:szCs w:val="18"/>
    </w:rPr>
  </w:style>
  <w:style w:type="table" w:styleId="719">
    <w:name w:val="Table Grid Light"/>
    <w:basedOn w:val="865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20">
    <w:name w:val="Plain Table 1"/>
    <w:basedOn w:val="865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21">
    <w:name w:val="Plain Table 2"/>
    <w:basedOn w:val="865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22">
    <w:name w:val="Plain Table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23">
    <w:name w:val="Plain Table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4">
    <w:name w:val="Plain Table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25">
    <w:name w:val="Grid Table 1 Light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6">
    <w:name w:val="Grid Table 1 Light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7">
    <w:name w:val="Grid Table 1 Light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8">
    <w:name w:val="Grid Table 1 Light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9">
    <w:name w:val="Grid Table 1 Light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0">
    <w:name w:val="Grid Table 1 Light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1">
    <w:name w:val="Grid Table 1 Light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2">
    <w:name w:val="Grid Table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>
    <w:name w:val="Grid Table 2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>
    <w:name w:val="Grid Table 2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>
    <w:name w:val="Grid Table 2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2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2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2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3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3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3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Grid Table 3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Grid Table 3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Grid Table 3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Grid Table 4"/>
    <w:basedOn w:val="8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47">
    <w:name w:val="Grid Table 4 - Accent 1"/>
    <w:basedOn w:val="8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48">
    <w:name w:val="Grid Table 4 - Accent 2"/>
    <w:basedOn w:val="8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49">
    <w:name w:val="Grid Table 4 - Accent 3"/>
    <w:basedOn w:val="8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50">
    <w:name w:val="Grid Table 4 - Accent 4"/>
    <w:basedOn w:val="8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51">
    <w:name w:val="Grid Table 4 - Accent 5"/>
    <w:basedOn w:val="8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52">
    <w:name w:val="Grid Table 4 - Accent 6"/>
    <w:basedOn w:val="8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53">
    <w:name w:val="Grid Table 5 Dark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54">
    <w:name w:val="Grid Table 5 Dark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55">
    <w:name w:val="Grid Table 5 Dark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56">
    <w:name w:val="Grid Table 5 Dark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57">
    <w:name w:val="Grid Table 5 Dark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58">
    <w:name w:val="Grid Table 5 Dark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59">
    <w:name w:val="Grid Table 5 Dark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60">
    <w:name w:val="Grid Table 6 Colorful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61">
    <w:name w:val="Grid Table 6 Colorful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62">
    <w:name w:val="Grid Table 6 Colorful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63">
    <w:name w:val="Grid Table 6 Colorful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64">
    <w:name w:val="Grid Table 6 Colorful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65">
    <w:name w:val="Grid Table 6 Colorful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66">
    <w:name w:val="Grid Table 6 Colorful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67">
    <w:name w:val="Grid Table 7 Colorful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>
    <w:name w:val="Grid Table 7 Colorful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>
    <w:name w:val="Grid Table 7 Colorful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>
    <w:name w:val="Grid Table 7 Colorful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>
    <w:name w:val="Grid Table 7 Colorful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Grid Table 7 Colorful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Grid Table 7 Colorful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4">
    <w:name w:val="List Table 1 Light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5">
    <w:name w:val="List Table 1 Light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6">
    <w:name w:val="List Table 1 Light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7">
    <w:name w:val="List Table 1 Light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8">
    <w:name w:val="List Table 1 Light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9">
    <w:name w:val="List Table 1 Light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0">
    <w:name w:val="List Table 1 Light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1">
    <w:name w:val="List Table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82">
    <w:name w:val="List Table 2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83">
    <w:name w:val="List Table 2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84">
    <w:name w:val="List Table 2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85">
    <w:name w:val="List Table 2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86">
    <w:name w:val="List Table 2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87">
    <w:name w:val="List Table 2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88">
    <w:name w:val="List Table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>
    <w:name w:val="List Table 3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>
    <w:name w:val="List Table 3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>
    <w:name w:val="List Table 3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>
    <w:name w:val="List Table 3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List Table 3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List Table 3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5">
    <w:name w:val="List Table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6">
    <w:name w:val="List Table 4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7">
    <w:name w:val="List Table 4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8">
    <w:name w:val="List Table 4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9">
    <w:name w:val="List Table 4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0">
    <w:name w:val="List Table 4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1">
    <w:name w:val="List Table 4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2">
    <w:name w:val="List Table 5 Dark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3">
    <w:name w:val="List Table 5 Dark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4">
    <w:name w:val="List Table 5 Dark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5">
    <w:name w:val="List Table 5 Dark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6">
    <w:name w:val="List Table 5 Dark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7">
    <w:name w:val="List Table 5 Dark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8">
    <w:name w:val="List Table 5 Dark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09">
    <w:name w:val="List Table 6 Colorful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10">
    <w:name w:val="List Table 6 Colorful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11">
    <w:name w:val="List Table 6 Colorful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12">
    <w:name w:val="List Table 6 Colorful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13">
    <w:name w:val="List Table 6 Colorful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14">
    <w:name w:val="List Table 6 Colorful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15">
    <w:name w:val="List Table 6 Colorful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16">
    <w:name w:val="List Table 7 Colorful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17">
    <w:name w:val="List Table 7 Colorful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818">
    <w:name w:val="List Table 7 Colorful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819">
    <w:name w:val="List Table 7 Colorful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820">
    <w:name w:val="List Table 7 Colorful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821">
    <w:name w:val="List Table 7 Colorful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22">
    <w:name w:val="List Table 7 Colorful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23">
    <w:name w:val="Lined - Accent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24">
    <w:name w:val="Lined - Accent 1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25">
    <w:name w:val="Lined - Accent 2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26">
    <w:name w:val="Lined - Accent 3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27">
    <w:name w:val="Lined - Accent 4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28">
    <w:name w:val="Lined - Accent 5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29">
    <w:name w:val="Lined - Accent 6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30">
    <w:name w:val="Bordered &amp; Lined - Accent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31">
    <w:name w:val="Bordered &amp; Lined - Accent 1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32">
    <w:name w:val="Bordered &amp; Lined - Accent 2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33">
    <w:name w:val="Bordered &amp; Lined - Accent 3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34">
    <w:name w:val="Bordered &amp; Lined - Accent 4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35">
    <w:name w:val="Bordered &amp; Lined - Accent 5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36">
    <w:name w:val="Bordered &amp; Lined - Accent 6"/>
    <w:basedOn w:val="86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37">
    <w:name w:val="Bordered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38">
    <w:name w:val="Bordered - Accent 1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39">
    <w:name w:val="Bordered - Accent 2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40">
    <w:name w:val="Bordered - Accent 3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41">
    <w:name w:val="Bordered - Accent 4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42">
    <w:name w:val="Bordered - Accent 5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43">
    <w:name w:val="Bordered - Accent 6"/>
    <w:basedOn w:val="8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44">
    <w:name w:val="Hyperlink"/>
    <w:uiPriority w:val="99"/>
    <w:unhideWhenUsed/>
    <w:rPr>
      <w:color w:val="0000ff" w:themeColor="hyperlink"/>
      <w:u w:val="single"/>
    </w:rPr>
  </w:style>
  <w:style w:type="paragraph" w:styleId="845">
    <w:name w:val="footnote text"/>
    <w:basedOn w:val="862"/>
    <w:link w:val="846"/>
    <w:uiPriority w:val="99"/>
    <w:semiHidden/>
    <w:unhideWhenUsed/>
    <w:pPr>
      <w:spacing w:after="40" w:line="240" w:lineRule="auto"/>
    </w:pPr>
    <w:rPr>
      <w:sz w:val="18"/>
    </w:rPr>
  </w:style>
  <w:style w:type="character" w:styleId="846">
    <w:name w:val="Footnote Text Char"/>
    <w:link w:val="845"/>
    <w:uiPriority w:val="99"/>
    <w:rPr>
      <w:sz w:val="18"/>
    </w:rPr>
  </w:style>
  <w:style w:type="character" w:styleId="847">
    <w:name w:val="footnote reference"/>
    <w:basedOn w:val="864"/>
    <w:uiPriority w:val="99"/>
    <w:unhideWhenUsed/>
    <w:rPr>
      <w:vertAlign w:val="superscript"/>
    </w:rPr>
  </w:style>
  <w:style w:type="paragraph" w:styleId="848">
    <w:name w:val="endnote text"/>
    <w:basedOn w:val="862"/>
    <w:link w:val="849"/>
    <w:uiPriority w:val="99"/>
    <w:semiHidden/>
    <w:unhideWhenUsed/>
    <w:pPr>
      <w:spacing w:after="0" w:line="240" w:lineRule="auto"/>
    </w:pPr>
    <w:rPr>
      <w:sz w:val="20"/>
    </w:rPr>
  </w:style>
  <w:style w:type="character" w:styleId="849">
    <w:name w:val="Endnote Text Char"/>
    <w:link w:val="848"/>
    <w:uiPriority w:val="99"/>
    <w:rPr>
      <w:sz w:val="20"/>
    </w:rPr>
  </w:style>
  <w:style w:type="character" w:styleId="850">
    <w:name w:val="endnote reference"/>
    <w:basedOn w:val="864"/>
    <w:uiPriority w:val="99"/>
    <w:semiHidden/>
    <w:unhideWhenUsed/>
    <w:rPr>
      <w:vertAlign w:val="superscript"/>
    </w:rPr>
  </w:style>
  <w:style w:type="paragraph" w:styleId="851">
    <w:name w:val="toc 1"/>
    <w:basedOn w:val="862"/>
    <w:next w:val="862"/>
    <w:uiPriority w:val="39"/>
    <w:unhideWhenUsed/>
    <w:pPr>
      <w:ind w:left="0" w:right="0" w:firstLine="0"/>
      <w:spacing w:after="57"/>
    </w:pPr>
  </w:style>
  <w:style w:type="paragraph" w:styleId="852">
    <w:name w:val="toc 2"/>
    <w:basedOn w:val="862"/>
    <w:next w:val="862"/>
    <w:uiPriority w:val="39"/>
    <w:unhideWhenUsed/>
    <w:pPr>
      <w:ind w:left="283" w:right="0" w:firstLine="0"/>
      <w:spacing w:after="57"/>
    </w:pPr>
  </w:style>
  <w:style w:type="paragraph" w:styleId="853">
    <w:name w:val="toc 3"/>
    <w:basedOn w:val="862"/>
    <w:next w:val="862"/>
    <w:uiPriority w:val="39"/>
    <w:unhideWhenUsed/>
    <w:pPr>
      <w:ind w:left="567" w:right="0" w:firstLine="0"/>
      <w:spacing w:after="57"/>
    </w:pPr>
  </w:style>
  <w:style w:type="paragraph" w:styleId="854">
    <w:name w:val="toc 4"/>
    <w:basedOn w:val="862"/>
    <w:next w:val="862"/>
    <w:uiPriority w:val="39"/>
    <w:unhideWhenUsed/>
    <w:pPr>
      <w:ind w:left="850" w:right="0" w:firstLine="0"/>
      <w:spacing w:after="57"/>
    </w:pPr>
  </w:style>
  <w:style w:type="paragraph" w:styleId="855">
    <w:name w:val="toc 5"/>
    <w:basedOn w:val="862"/>
    <w:next w:val="862"/>
    <w:uiPriority w:val="39"/>
    <w:unhideWhenUsed/>
    <w:pPr>
      <w:ind w:left="1134" w:right="0" w:firstLine="0"/>
      <w:spacing w:after="57"/>
    </w:pPr>
  </w:style>
  <w:style w:type="paragraph" w:styleId="856">
    <w:name w:val="toc 6"/>
    <w:basedOn w:val="862"/>
    <w:next w:val="862"/>
    <w:uiPriority w:val="39"/>
    <w:unhideWhenUsed/>
    <w:pPr>
      <w:ind w:left="1417" w:right="0" w:firstLine="0"/>
      <w:spacing w:after="57"/>
    </w:pPr>
  </w:style>
  <w:style w:type="paragraph" w:styleId="857">
    <w:name w:val="toc 7"/>
    <w:basedOn w:val="862"/>
    <w:next w:val="862"/>
    <w:uiPriority w:val="39"/>
    <w:unhideWhenUsed/>
    <w:pPr>
      <w:ind w:left="1701" w:right="0" w:firstLine="0"/>
      <w:spacing w:after="57"/>
    </w:pPr>
  </w:style>
  <w:style w:type="paragraph" w:styleId="858">
    <w:name w:val="toc 8"/>
    <w:basedOn w:val="862"/>
    <w:next w:val="862"/>
    <w:uiPriority w:val="39"/>
    <w:unhideWhenUsed/>
    <w:pPr>
      <w:ind w:left="1984" w:right="0" w:firstLine="0"/>
      <w:spacing w:after="57"/>
    </w:pPr>
  </w:style>
  <w:style w:type="paragraph" w:styleId="859">
    <w:name w:val="toc 9"/>
    <w:basedOn w:val="862"/>
    <w:next w:val="862"/>
    <w:uiPriority w:val="39"/>
    <w:unhideWhenUsed/>
    <w:pPr>
      <w:ind w:left="2268" w:right="0" w:firstLine="0"/>
      <w:spacing w:after="57"/>
    </w:pPr>
  </w:style>
  <w:style w:type="paragraph" w:styleId="860">
    <w:name w:val="TOC Heading"/>
    <w:uiPriority w:val="39"/>
    <w:unhideWhenUsed/>
  </w:style>
  <w:style w:type="paragraph" w:styleId="861">
    <w:name w:val="table of figures"/>
    <w:basedOn w:val="862"/>
    <w:next w:val="862"/>
    <w:uiPriority w:val="99"/>
    <w:unhideWhenUsed/>
    <w:pPr>
      <w:spacing w:after="0" w:afterAutospacing="0"/>
    </w:pPr>
  </w:style>
  <w:style w:type="paragraph" w:styleId="862" w:default="1">
    <w:name w:val="Normal"/>
    <w:qFormat/>
    <w:pPr>
      <w:spacing w:after="160" w:line="256" w:lineRule="auto"/>
    </w:pPr>
    <w:rPr>
      <w:rFonts w:ascii="Calibri" w:hAnsi="Calibri" w:eastAsia="Calibri" w:cs="Calibri"/>
      <w:lang w:eastAsia="ru-RU"/>
    </w:rPr>
  </w:style>
  <w:style w:type="paragraph" w:styleId="863">
    <w:name w:val="Heading 1"/>
    <w:basedOn w:val="862"/>
    <w:next w:val="862"/>
    <w:link w:val="867"/>
    <w:qFormat/>
    <w:pPr>
      <w:keepNext/>
      <w:spacing w:before="240" w:after="60" w:line="240" w:lineRule="auto"/>
      <w:outlineLvl w:val="0"/>
    </w:pPr>
    <w:rPr>
      <w:rFonts w:ascii="Arial" w:hAnsi="Arial" w:eastAsia="SimSun" w:cs="Arial"/>
      <w:b/>
      <w:bCs/>
      <w:sz w:val="32"/>
      <w:szCs w:val="32"/>
      <w:lang w:eastAsia="zh-CN"/>
    </w:rPr>
  </w:style>
  <w:style w:type="character" w:styleId="864" w:default="1">
    <w:name w:val="Default Paragraph Font"/>
    <w:uiPriority w:val="1"/>
    <w:semiHidden/>
    <w:unhideWhenUsed/>
  </w:style>
  <w:style w:type="table" w:styleId="86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66" w:default="1">
    <w:name w:val="No List"/>
    <w:uiPriority w:val="99"/>
    <w:semiHidden/>
    <w:unhideWhenUsed/>
  </w:style>
  <w:style w:type="character" w:styleId="867" w:customStyle="1">
    <w:name w:val="Заголовок 1 Знак"/>
    <w:basedOn w:val="864"/>
    <w:link w:val="863"/>
    <w:rPr>
      <w:rFonts w:ascii="Arial" w:hAnsi="Arial" w:eastAsia="SimSun" w:cs="Arial"/>
      <w:b/>
      <w:bCs/>
      <w:sz w:val="32"/>
      <w:szCs w:val="32"/>
      <w:lang w:eastAsia="zh-CN"/>
    </w:rPr>
  </w:style>
  <w:style w:type="paragraph" w:styleId="868">
    <w:name w:val="List Paragraph"/>
    <w:basedOn w:val="862"/>
    <w:uiPriority w:val="34"/>
    <w:qFormat/>
    <w:pPr>
      <w:contextualSpacing/>
      <w:ind w:left="720"/>
    </w:pPr>
  </w:style>
  <w:style w:type="table" w:styleId="869">
    <w:name w:val="Table Grid"/>
    <w:basedOn w:val="865"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870">
    <w:name w:val="Header"/>
    <w:basedOn w:val="862"/>
    <w:link w:val="871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71" w:customStyle="1">
    <w:name w:val="Верхний колонтитул Знак"/>
    <w:basedOn w:val="864"/>
    <w:link w:val="870"/>
    <w:uiPriority w:val="99"/>
    <w:rPr>
      <w:rFonts w:ascii="Calibri" w:hAnsi="Calibri" w:eastAsia="Calibri" w:cs="Calibri"/>
      <w:lang w:eastAsia="ru-RU"/>
    </w:rPr>
  </w:style>
  <w:style w:type="paragraph" w:styleId="872">
    <w:name w:val="Footer"/>
    <w:basedOn w:val="862"/>
    <w:link w:val="873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73" w:customStyle="1">
    <w:name w:val="Нижний колонтитул Знак"/>
    <w:basedOn w:val="864"/>
    <w:link w:val="872"/>
    <w:uiPriority w:val="99"/>
    <w:rPr>
      <w:rFonts w:ascii="Calibri" w:hAnsi="Calibri" w:eastAsia="Calibri" w:cs="Calibri"/>
      <w:lang w:eastAsia="ru-RU"/>
    </w:rPr>
  </w:style>
  <w:style w:type="paragraph" w:styleId="874">
    <w:name w:val="Balloon Text"/>
    <w:basedOn w:val="862"/>
    <w:link w:val="87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75" w:customStyle="1">
    <w:name w:val="Текст выноски Знак"/>
    <w:basedOn w:val="864"/>
    <w:link w:val="874"/>
    <w:uiPriority w:val="99"/>
    <w:semiHidden/>
    <w:rPr>
      <w:rFonts w:ascii="Tahoma" w:hAnsi="Tahoma" w:eastAsia="Calibri" w:cs="Tahoma"/>
      <w:sz w:val="16"/>
      <w:szCs w:val="16"/>
      <w:lang w:eastAsia="ru-RU"/>
    </w:rPr>
  </w:style>
  <w:style w:type="paragraph" w:styleId="876">
    <w:name w:val="Normal (Web)"/>
    <w:basedOn w:val="862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footer" Target="footer1.xml" /><Relationship Id="rId11" Type="http://schemas.openxmlformats.org/officeDocument/2006/relationships/image" Target="media/image1.png"/><Relationship Id="rId12" Type="http://schemas.openxmlformats.org/officeDocument/2006/relationships/oleObject" Target="embeddings/oleObject1.bin"/><Relationship Id="rId13" Type="http://schemas.openxmlformats.org/officeDocument/2006/relationships/image" Target="media/image2.png"/><Relationship Id="rId14" Type="http://schemas.openxmlformats.org/officeDocument/2006/relationships/oleObject" Target="embeddings/oleObject2.bin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image" Target="media/image5.png"/><Relationship Id="rId18" Type="http://schemas.openxmlformats.org/officeDocument/2006/relationships/oleObject" Target="embeddings/oleObject3.bin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r7-office/2025.3.2.1000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Егор Шелудков</cp:lastModifiedBy>
  <cp:revision>8</cp:revision>
  <dcterms:created xsi:type="dcterms:W3CDTF">2024-01-26T05:25:00Z</dcterms:created>
  <dcterms:modified xsi:type="dcterms:W3CDTF">2026-05-22T08:29:45Z</dcterms:modified>
</cp:coreProperties>
</file>