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0"/>
        <w:spacing w:before="0" w:beforeAutospacing="0"/>
        <w:shd w:val="clear" w:color="auto" w:fill="ffffff"/>
        <w:rPr>
          <w:b/>
          <w:bCs/>
          <w:color w:val="333333"/>
        </w:rPr>
      </w:pPr>
      <w:r>
        <w:rPr>
          <w:rStyle w:val="851"/>
          <w:color w:val="333333"/>
        </w:rPr>
        <w:t xml:space="preserve">Штукату</w:t>
      </w:r>
      <w:r>
        <w:rPr>
          <w:rStyle w:val="851"/>
          <w:color w:val="333333"/>
        </w:rPr>
        <w:t xml:space="preserve">рка цементная М-75 (ручное нанесение)</w:t>
      </w:r>
      <w:r>
        <w:rPr>
          <w:rStyle w:val="851"/>
          <w:color w:val="333333"/>
        </w:rPr>
        <w:t xml:space="preserve"> </w:t>
      </w:r>
      <w:r>
        <w:rPr>
          <w:b/>
          <w:bCs/>
          <w:color w:val="333333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3357"/>
        <w:gridCol w:w="671"/>
        <w:gridCol w:w="4294"/>
        <w:gridCol w:w="2098"/>
      </w:tblGrid>
      <w:tr>
        <w:tblPrEx/>
        <w:trPr>
          <w:trHeight w:val="599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сухая штукатурная легкая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цементном вяжущем производится в соответствии с ГОСТ 33083—2014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289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25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80"/>
        </w:trPr>
        <w:tc>
          <w:tcPr>
            <w:tcW w:w="0" w:type="auto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8700" w:dyaOrig="142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103.80pt;height:170.20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2" ProgID="PBrush" ShapeID="_x0000_i2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33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Влажность по массе,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44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Наибольшая крупность зёрен заполнителя (остаток на сите),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66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Подвижность растворной смеси,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Пк3/11,3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13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Водоудерживающая способность,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Сохраняемость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первоначальной подвижности, 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5"/>
        </w:trPr>
        <w:tc>
          <w:tcPr>
            <w:tcW w:w="0" w:type="auto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7.10pt;height:221.6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Расслаиваемость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растворной смеси,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0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на сжатие,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06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сцепления (адгезия) с основанием,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9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Морозостойкость, циклов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F35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99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Температурный режим работ,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+5 до +30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Деформация усадки,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хранения 12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25515" cy="8618220"/>
                      <wp:effectExtent l="0" t="0" r="0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25515" cy="8618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74.45pt;height:678.6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140"/>
      </w:tblGrid>
      <w:tr>
        <w:tblPrEx/>
        <w:trPr>
          <w:trHeight w:val="13348"/>
        </w:trPr>
        <w:tc>
          <w:tcPr>
            <w:tcW w:w="101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2515" cy="6927850"/>
                      <wp:effectExtent l="0" t="0" r="635" b="6350"/>
                      <wp:docPr id="6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2515" cy="6927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84.45pt;height:545.50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25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13278"/>
        </w:trPr>
        <w:tc>
          <w:tcPr>
            <w:tcW w:w="10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8700" w:dyaOrig="142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width:407.70pt;height:667.65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6" ProgID="PBrush" ShapeID="_x0000_i6" Type="Embed"/>
              </w:objec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77"/>
        </w:trPr>
        <w:tc>
          <w:tcPr>
            <w:tcW w:w="10420" w:type="dxa"/>
            <w:textDirection w:val="lrTb"/>
            <w:noWrap w:val="false"/>
          </w:tcPr>
          <w:p>
            <w:pPr>
              <w:pStyle w:val="850"/>
              <w:spacing w:before="0" w:beforeAutospacing="0"/>
              <w:shd w:val="clear" w:color="auto" w:fill="ffffff"/>
              <w:rPr>
                <w:rStyle w:val="851"/>
                <w:color w:val="333333"/>
              </w:rPr>
            </w:pPr>
            <w:r>
              <w:rPr>
                <w:rStyle w:val="851"/>
                <w:color w:val="333333"/>
              </w:rPr>
              <w:t xml:space="preserve">Штукатурка цементная М-75 (ручное нанесение) </w:t>
            </w:r>
            <w:r>
              <w:rPr>
                <w:rStyle w:val="851"/>
                <w:color w:val="333333"/>
              </w:rPr>
            </w:r>
          </w:p>
          <w:p>
            <w:pPr>
              <w:pStyle w:val="850"/>
              <w:jc w:val="both"/>
              <w:spacing w:before="0" w:beforeAutospacing="0" w:after="240" w:afterAutospacing="0"/>
              <w:shd w:val="clear" w:color="auto" w:fill="ffffff"/>
            </w:pPr>
            <w:r>
              <w:rPr>
                <w:shd w:val="clear" w:color="auto" w:fill="ffffff"/>
              </w:rPr>
              <w:t xml:space="preserve">Применяется для оштукатуривания вручную кирпичных, каменных и бетонных поверхностей (наружные и внутренние стены, перегородки, колонны и т.п.)</w:t>
            </w:r>
            <w:r>
              <w:rPr>
                <w:shd w:val="clear" w:color="auto" w:fill="ffffff"/>
              </w:rPr>
              <w:t xml:space="preserve">.</w:t>
            </w:r>
            <w:r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г</w:t>
            </w:r>
            <w:r>
              <w:rPr>
                <w:shd w:val="clear" w:color="auto" w:fill="ffffff"/>
              </w:rPr>
              <w:t xml:space="preserve">оризонтальных и вертикальных швов в стенах из панелей и крупных бетонных блоков и устранения сколов и других дефектов бетонных поверхностей.</w:t>
            </w:r>
            <w:r/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основы: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Основание должно быть сухим, прочным, очищенным от пыли, старой краски, масляных пятен и других покрытий, ухудшающих сцепление с поверхностью.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 глубокие повреждения поверхности (трещины, выбоины и др.) должны быть предварительно заделаны, металлические элементы должны быть защищены от коррозии.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гладких и глянцевых поверхностях необходимо выполнить насечку.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Поверхность основания необходимо обработать соответствующей основанию грунтовкой в один или несколько слоев. После нанесения дать грунтовке высохнуть.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выполняемых работ: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9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Оштукатуривание внутри и снаружи зданий под дальнейшее чистовое покрытие (шпатлевка, декоративные штукатурки, покраска, декоративный кирпич, плитку и т.п.)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9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механизированного нанесения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 xml:space="preserve">Условия проведения работ: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50"/>
              <w:numPr>
                <w:ilvl w:val="0"/>
                <w:numId w:val="5"/>
              </w:numPr>
              <w:jc w:val="both"/>
              <w:spacing w:before="0" w:beforeAutospacing="0" w:after="0" w:afterAutospacing="0"/>
              <w:rPr>
                <w:b/>
                <w:color w:val="222222"/>
              </w:rPr>
            </w:pPr>
            <w:r>
              <w:t xml:space="preserve">Температура применения (воздуха, основания, материалов): от + 5°C до + 25°C. </w:t>
            </w:r>
            <w:r>
              <w:rPr>
                <w:b/>
                <w:color w:val="222222"/>
              </w:rPr>
            </w:r>
          </w:p>
          <w:p>
            <w:pPr>
              <w:pStyle w:val="850"/>
              <w:numPr>
                <w:ilvl w:val="0"/>
                <w:numId w:val="5"/>
              </w:numPr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t xml:space="preserve">Вновь нанесенные покрытия необходимо защищать от дождя, замораживания и слишком быстрого высыхания, в том числе под прямым воздействием солнечных лучей.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color w:val="222222"/>
              </w:rPr>
            </w:r>
          </w:p>
          <w:p>
            <w:pPr>
              <w:pStyle w:val="850"/>
              <w:jc w:val="both"/>
              <w:spacing w:before="0" w:beforeAutospacing="0" w:after="240" w:afterAutospacing="0"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Приготовление растворной смеси:</w:t>
            </w:r>
            <w:r>
              <w:rPr>
                <w:b/>
                <w:color w:val="222222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приготовления используйте чистые емкости и инструменты.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Грязный инструмент сократит жизнь готового раствора.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Сухую смесь постепенно высыпать в емкость, содержащую необходимое количество воды.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Перемешать вручную или механической дрелью-миксером с насадкой для высоковязких растворов до получения однородной массы.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Оставить на время для дозревания, составляющее 5 минут, и снова тщательно перемешать.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Затвердевшую массу не разбавлять водой, и не смешивать с сухим материалом.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0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Порядок работы:</w:t>
            </w:r>
            <w:r>
              <w:rPr>
                <w:b/>
                <w:color w:val="222222"/>
              </w:rPr>
            </w:r>
          </w:p>
          <w:p>
            <w:pPr>
              <w:pStyle w:val="850"/>
              <w:numPr>
                <w:ilvl w:val="0"/>
                <w:numId w:val="6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Работы необходимо проводить в резиновых перчатках. Для защиты дыхательных путей применять респиратор или марлевую повязку. При попадании в глаза немедленно промыть большим количеством воды.</w:t>
            </w:r>
            <w:r>
              <w:rPr>
                <w:b/>
              </w:rPr>
            </w:r>
          </w:p>
          <w:p>
            <w:pPr>
              <w:pStyle w:val="842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Перед началом работ следует подготовить рабочую поверхность.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Готовую штукатурную смесь нанести на поверхность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набросом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намазыванием, затем разровнять при помощи правила.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Подрезку штукатурного слоя (удаление неровностей и наплывов) производить после схватывания растворной смеси.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Время схватывания зависит от толщины слоя, температуры и влажности воздуха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Дальнейшие работы стоит производить только после полного высыхания нанесенного слоя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6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0"/>
              <w:jc w:val="both"/>
              <w:spacing w:before="0" w:beforeAutospacing="0" w:after="225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Условия транспортирования и хранения:</w:t>
            </w:r>
            <w:r>
              <w:rPr>
                <w:b/>
                <w:color w:val="222222"/>
              </w:rPr>
            </w:r>
          </w:p>
          <w:p>
            <w:pPr>
              <w:pStyle w:val="850"/>
              <w:numPr>
                <w:ilvl w:val="0"/>
                <w:numId w:val="7"/>
              </w:numPr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 xml:space="preserve">Смесь транспортировать в соответствии с правилами перевозки груз</w:t>
            </w:r>
            <w:r>
              <w:rPr>
                <w:color w:val="222222"/>
              </w:rPr>
              <w:t xml:space="preserve">ов. Мешки с сухой смесью хранить в крытых сухих помещениях в условиях, обеспечивающих сохранность упаковки и предохранение от увлажнения. Срок хранения в таре изготовителя – 6 месяцев со дня изготовления при соблюдении условий транспортирования и хранения.</w:t>
            </w:r>
            <w:r>
              <w:rPr>
                <w:color w:val="222222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tbl>
            <w:tblPr>
              <w:tblStyle w:val="843"/>
              <w:tblpPr w:horzAnchor="text" w:tblpXSpec="left" w:vertAnchor="text" w:tblpY="1" w:leftFromText="180" w:topFromText="0" w:rightFromText="180" w:bottomFromText="0"/>
              <w:tblW w:w="0" w:type="auto"/>
              <w:tblLook w:val="04A0" w:firstRow="1" w:lastRow="0" w:firstColumn="1" w:lastColumn="0" w:noHBand="0" w:noVBand="1"/>
            </w:tblPr>
            <w:tblGrid>
              <w:gridCol w:w="5495"/>
              <w:gridCol w:w="1336"/>
            </w:tblGrid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Наибольшая крупность зерен заполнителя, </w:t>
                  </w:r>
                  <w:r>
                    <w:rPr>
                      <w:color w:val="222222"/>
                    </w:rPr>
                    <w:t xml:space="preserve">мм</w:t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1,25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Марка прочности на сжатие МПа, не менее</w:t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7,5 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t xml:space="preserve">Адгезия к основанию МПа, не менее</w:t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0,3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t xml:space="preserve">Расход воды на 1 кг сухой смеси, литров:</w:t>
                  </w:r>
                  <w:r>
                    <w:tab/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0,2-0,28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</w:pPr>
                  <w:r>
                    <w:t xml:space="preserve">Расход воды на 25 кг сухой смеси, литров:</w:t>
                  </w:r>
                  <w:r/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5-6,25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Жизнеспособность раствора мин., не менее</w:t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60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Расход сухой смеси на 1 м</w:t>
                  </w:r>
                  <w:r>
                    <w:rPr>
                      <w:color w:val="222222"/>
                      <w:vertAlign w:val="superscript"/>
                    </w:rPr>
                    <w:t xml:space="preserve">2</w:t>
                  </w:r>
                  <w:r>
                    <w:rPr>
                      <w:color w:val="222222"/>
                    </w:rPr>
                    <w:t xml:space="preserve"> при толщине 10 мм, кг</w:t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От 15</w:t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495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Максимальная толщина слоя, </w:t>
                  </w:r>
                  <w:r>
                    <w:rPr>
                      <w:color w:val="222222"/>
                    </w:rPr>
                    <w:t xml:space="preserve">мм</w:t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0,3-30</w:t>
                  </w:r>
                  <w:r>
                    <w:rPr>
                      <w:color w:val="222222"/>
                    </w:rPr>
                  </w:r>
                </w:p>
              </w:tc>
            </w:tr>
          </w:tbl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ГОСТ 33083-2014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/>
      <w:bookmarkStart w:id="0" w:name="_GoBack"/>
      <w:r/>
      <w:bookmarkEnd w:id="0"/>
      <w:r/>
      <w:r>
        <w:rPr>
          <w:rFonts w:ascii="Times New Roman" w:hAnsi="Times New Roman" w:cs="Times New Roman"/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Arial">
    <w:panose1 w:val="020B0604020202020204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  <w:tabs>
        <w:tab w:val="left" w:pos="1740" w:leader="none"/>
        <w:tab w:val="right" w:pos="10205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843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47"/>
      <w:gridCol w:w="905"/>
      <w:gridCol w:w="3202"/>
      <w:gridCol w:w="1020"/>
      <w:gridCol w:w="2646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ул. Тимофея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Чаркова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, 8Б/1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60pt;height:38.35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837"/>
            <w:jc w:val="center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outlineLvl w:val="0"/>
          </w:pP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t xml:space="preserve">Завод ООО «Меланж»</w:t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Наши сухие строительные смеси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– это просто добавь воды!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.20pt;height:40.20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https://melang72.ru</w:t>
            </w:r>
          </w:hyperlink>
          <w:r/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pStyle w:val="837"/>
            <w:jc w:val="right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/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</w:p>
      </w:tc>
    </w:tr>
  </w:tbl>
  <w:p>
    <w:pPr>
      <w:pStyle w:val="844"/>
      <w:rPr>
        <w:lang w:val="en-US"/>
      </w:rPr>
    </w:pPr>
    <w:r>
      <w:rPr>
        <w:lang w:val="en-US"/>
      </w:rPr>
    </w:r>
    <w:r>
      <w:rPr>
        <w:lang w:val="en-US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left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left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left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left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left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left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left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left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838"/>
    <w:link w:val="837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836"/>
    <w:next w:val="836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838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836"/>
    <w:next w:val="836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838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836"/>
    <w:next w:val="836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838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836"/>
    <w:next w:val="836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838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836"/>
    <w:next w:val="836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838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836"/>
    <w:next w:val="836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838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836"/>
    <w:next w:val="836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838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836"/>
    <w:next w:val="836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838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836"/>
    <w:next w:val="836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838"/>
    <w:link w:val="35"/>
    <w:uiPriority w:val="10"/>
    <w:rPr>
      <w:sz w:val="48"/>
      <w:szCs w:val="48"/>
    </w:rPr>
  </w:style>
  <w:style w:type="paragraph" w:styleId="37">
    <w:name w:val="Subtitle"/>
    <w:basedOn w:val="836"/>
    <w:next w:val="836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838"/>
    <w:link w:val="37"/>
    <w:uiPriority w:val="11"/>
    <w:rPr>
      <w:sz w:val="24"/>
      <w:szCs w:val="24"/>
    </w:rPr>
  </w:style>
  <w:style w:type="paragraph" w:styleId="39">
    <w:name w:val="Quote"/>
    <w:basedOn w:val="836"/>
    <w:next w:val="836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836"/>
    <w:next w:val="836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838"/>
    <w:link w:val="844"/>
    <w:uiPriority w:val="99"/>
  </w:style>
  <w:style w:type="character" w:styleId="46">
    <w:name w:val="Footer Char"/>
    <w:basedOn w:val="838"/>
    <w:link w:val="846"/>
    <w:uiPriority w:val="99"/>
  </w:style>
  <w:style w:type="paragraph" w:styleId="47">
    <w:name w:val="Caption"/>
    <w:basedOn w:val="836"/>
    <w:next w:val="836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838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836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838"/>
    <w:uiPriority w:val="99"/>
    <w:unhideWhenUsed/>
    <w:rPr>
      <w:vertAlign w:val="superscript"/>
    </w:rPr>
  </w:style>
  <w:style w:type="paragraph" w:styleId="179">
    <w:name w:val="endnote text"/>
    <w:basedOn w:val="836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838"/>
    <w:uiPriority w:val="99"/>
    <w:semiHidden/>
    <w:unhideWhenUsed/>
    <w:rPr>
      <w:vertAlign w:val="superscript"/>
    </w:rPr>
  </w:style>
  <w:style w:type="paragraph" w:styleId="182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837">
    <w:name w:val="Heading 1"/>
    <w:basedOn w:val="836"/>
    <w:next w:val="836"/>
    <w:link w:val="841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character" w:styleId="841" w:customStyle="1">
    <w:name w:val="Заголовок 1 Знак"/>
    <w:basedOn w:val="838"/>
    <w:link w:val="837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842">
    <w:name w:val="List Paragraph"/>
    <w:basedOn w:val="836"/>
    <w:uiPriority w:val="34"/>
    <w:qFormat/>
    <w:pPr>
      <w:contextualSpacing/>
      <w:ind w:left="720"/>
    </w:pPr>
  </w:style>
  <w:style w:type="table" w:styleId="843">
    <w:name w:val="Table Grid"/>
    <w:basedOn w:val="839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44">
    <w:name w:val="Header"/>
    <w:basedOn w:val="836"/>
    <w:link w:val="84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5" w:customStyle="1">
    <w:name w:val="Верхний колонтитул Знак"/>
    <w:basedOn w:val="838"/>
    <w:link w:val="844"/>
    <w:uiPriority w:val="99"/>
    <w:rPr>
      <w:rFonts w:ascii="Calibri" w:hAnsi="Calibri" w:eastAsia="Calibri" w:cs="Calibri"/>
      <w:lang w:eastAsia="ru-RU"/>
    </w:rPr>
  </w:style>
  <w:style w:type="paragraph" w:styleId="846">
    <w:name w:val="Footer"/>
    <w:basedOn w:val="836"/>
    <w:link w:val="84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7" w:customStyle="1">
    <w:name w:val="Нижний колонтитул Знак"/>
    <w:basedOn w:val="838"/>
    <w:link w:val="846"/>
    <w:uiPriority w:val="99"/>
    <w:rPr>
      <w:rFonts w:ascii="Calibri" w:hAnsi="Calibri" w:eastAsia="Calibri" w:cs="Calibri"/>
      <w:lang w:eastAsia="ru-RU"/>
    </w:rPr>
  </w:style>
  <w:style w:type="paragraph" w:styleId="848">
    <w:name w:val="Balloon Text"/>
    <w:basedOn w:val="836"/>
    <w:link w:val="84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9" w:customStyle="1">
    <w:name w:val="Текст выноски Знак"/>
    <w:basedOn w:val="838"/>
    <w:link w:val="848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850">
    <w:name w:val="Normal (Web)"/>
    <w:basedOn w:val="836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51">
    <w:name w:val="Strong"/>
    <w:basedOn w:val="838"/>
    <w:uiPriority w:val="22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oleObject" Target="embeddings/oleObject3.bin"/><Relationship Id="rId17" Type="http://schemas.openxmlformats.org/officeDocument/2006/relationships/image" Target="media/image4.png"/><Relationship Id="rId18" Type="http://schemas.openxmlformats.org/officeDocument/2006/relationships/oleObject" Target="embeddings/oleObject4.bin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4</cp:revision>
  <dcterms:created xsi:type="dcterms:W3CDTF">2024-01-30T10:09:00Z</dcterms:created>
  <dcterms:modified xsi:type="dcterms:W3CDTF">2026-05-22T09:31:10Z</dcterms:modified>
</cp:coreProperties>
</file>